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常州市武进区遥观镇卫生院医疗设备全生命周期管理服务采购项目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JSZC-320412-CTZB-G2025-0269</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常州市武进区遥观镇卫生院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6"/>
          <w:color w:val="000000"/>
          <w:sz w:val="32"/>
          <w:szCs w:val="32"/>
        </w:rPr>
        <w:t xml:space="preserve">第三章   资</w:t>
      </w:r>
      <w:bookmarkStart w:id="1" w:name="_Hlt100754117"/>
      <w:r>
        <w:rPr>
          <w:rStyle w:val="1146"/>
          <w:color w:val="000000"/>
          <w:sz w:val="32"/>
          <w:szCs w:val="32"/>
        </w:rPr>
        <w:t xml:space="preserve">格</w:t>
      </w:r>
      <w:bookmarkEnd w:id="1"/>
      <w:r>
        <w:rPr>
          <w:rStyle w:val="114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6"/>
          <w:color w:val="000000"/>
          <w:sz w:val="32"/>
          <w:szCs w:val="32"/>
        </w:rPr>
        <w:t xml:space="preserve">第五章   采购</w:t>
      </w:r>
      <w:bookmarkStart w:id="2" w:name="_Hlt100754103"/>
      <w:r/>
      <w:bookmarkStart w:id="3" w:name="_Hlt100754102"/>
      <w:r>
        <w:rPr>
          <w:rStyle w:val="1146"/>
          <w:color w:val="000000"/>
          <w:sz w:val="32"/>
          <w:szCs w:val="32"/>
        </w:rPr>
        <w:t xml:space="preserve">需</w:t>
      </w:r>
      <w:bookmarkEnd w:id="2"/>
      <w:r/>
      <w:bookmarkEnd w:id="3"/>
      <w:r>
        <w:rPr>
          <w:rStyle w:val="114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34</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39</w:t>
      </w:r>
      <w:r>
        <w:rPr>
          <w:sz w:val="32"/>
          <w:szCs w:val="32"/>
        </w:rPr>
        <w:fldChar w:fldCharType="end"/>
        <w:fldChar w:fldCharType="end"/>
      </w:r>
      <w:r>
        <w:rPr>
          <w:b w:val="0"/>
          <w:sz w:val="32"/>
          <w:szCs w:val="32"/>
        </w:rPr>
      </w:r>
      <w:r/>
    </w:p>
    <w:p>
      <w:pPr>
        <w:pStyle w:val="1123"/>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常州市武进区遥观镇卫生院医疗设备全生命周期管理服务采购项目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4</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35393790"/>
      <w:r/>
      <w:bookmarkStart w:id="6" w:name="_Toc28359079"/>
      <w:r/>
      <w:bookmarkStart w:id="7" w:name="_Toc35393621"/>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JSZC-320412-CTZB-G2025-0269</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常州市武进区遥观镇卫生院医疗设备全生命周期管理服务采购项目</w:t>
      </w:r>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3.项目预算金额：70万元</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项目最高限价（如有）：70万元</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本项目为常州市武进区遥观镇卫生院医疗设备全生命周期管理服务采购项目，中标人需根据医院需求提供医疗设备全生命周期管理服务</w:t>
      </w:r>
      <w:r/>
    </w:p>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合同履行期限：自合同签订之日起一年。</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2"/>
        <w:ind w:firstLine="643"/>
        <w:jc w:val="left"/>
        <w:spacing w:before="0" w:line="360" w:lineRule="auto"/>
        <w:rPr>
          <w:rFonts w:ascii="仿宋" w:hAnsi="仿宋" w:eastAsia="仿宋"/>
          <w:sz w:val="32"/>
          <w:szCs w:val="32"/>
        </w:rPr>
      </w:pPr>
      <w:r/>
      <w:bookmarkStart w:id="10" w:name="_Toc35393791"/>
      <w:r/>
      <w:bookmarkStart w:id="11" w:name="_Toc28359003"/>
      <w:r/>
      <w:bookmarkStart w:id="12" w:name="_Toc28359080"/>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0"/>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w:t>
      </w:r>
      <w:r>
        <w:rPr>
          <w:rFonts w:hint="eastAsia" w:ascii="仿宋" w:hAnsi="仿宋" w:eastAsia="仿宋"/>
          <w:sz w:val="32"/>
          <w:szCs w:val="32"/>
        </w:rPr>
        <w:t xml:space="preserve"> □</w:t>
      </w:r>
      <w:r>
        <w:rPr>
          <w:rFonts w:ascii="仿宋" w:hAnsi="仿宋" w:eastAsia="仿宋"/>
          <w:sz w:val="32"/>
          <w:szCs w:val="32"/>
        </w:rPr>
        <w:t xml:space="preserve">小微企业  采购。即：</w:t>
      </w:r>
      <w:r>
        <w:rPr>
          <w:rFonts w:ascii="仿宋" w:hAnsi="仿宋" w:eastAsia="仿宋"/>
          <w:b/>
          <w:sz w:val="32"/>
          <w:szCs w:val="32"/>
        </w:rPr>
        <w:t xml:space="preserve">提供的服务全部由符合政策要求的中小/小微企业承接。</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ascii="仿宋" w:hAnsi="仿宋" w:eastAsia="仿宋" w:cs="宋体"/>
          <w:sz w:val="32"/>
          <w:szCs w:val="32"/>
        </w:rPr>
        <w:t xml:space="preserve">03</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hint="eastAsia" w:ascii="仿宋" w:hAnsi="仿宋" w:eastAsia="仿宋" w:cs="宋体"/>
          <w:sz w:val="32"/>
          <w:szCs w:val="32"/>
        </w:rPr>
        <w:t xml:space="preserve">11月</w:t>
      </w:r>
      <w:r>
        <w:rPr>
          <w:rFonts w:hint="eastAsia" w:ascii="仿宋" w:hAnsi="仿宋" w:eastAsia="仿宋" w:cs="宋体"/>
          <w:sz w:val="32"/>
          <w:szCs w:val="32"/>
        </w:rPr>
        <w:t xml:space="preserve">2</w:t>
      </w:r>
      <w:r>
        <w:rPr>
          <w:rFonts w:ascii="仿宋" w:hAnsi="仿宋" w:eastAsia="仿宋" w:cs="宋体"/>
          <w:sz w:val="32"/>
          <w:szCs w:val="32"/>
        </w:rPr>
        <w:t xml:space="preserve">4</w:t>
      </w:r>
      <w:r>
        <w:rPr>
          <w:rFonts w:hint="eastAsia" w:ascii="仿宋" w:hAnsi="仿宋" w:eastAsia="仿宋" w:cs="宋体"/>
          <w:sz w:val="32"/>
          <w:szCs w:val="32"/>
        </w:rPr>
        <w:t xml:space="preserve">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35393794"/>
      <w:r/>
      <w:bookmarkStart w:id="23" w:name="_Toc28359084"/>
      <w:r/>
      <w:bookmarkStart w:id="24" w:name="_Toc35393625"/>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35393796"/>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0"/>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称：常州市武进区遥观镇卫生院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址：常州市武进区遥观镇政和路58号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联系方式：陆先生 </w:t>
      </w:r>
      <w:r>
        <w:rPr>
          <w:rFonts w:ascii="仿宋" w:hAnsi="仿宋" w:eastAsia="仿宋"/>
          <w:sz w:val="32"/>
          <w:szCs w:val="32"/>
        </w:rPr>
        <w:t xml:space="preserve"> 0519-88701199</w:t>
      </w:r>
      <w:r>
        <w:rPr>
          <w:rFonts w:hint="eastAsia" w:ascii="仿宋" w:hAnsi="仿宋" w:eastAsia="仿宋"/>
          <w:sz w:val="32"/>
          <w:szCs w:val="32"/>
        </w:rPr>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265228423"/>
      <w:r/>
      <w:bookmarkStart w:id="38" w:name="_Toc305158928"/>
      <w:r/>
      <w:bookmarkStart w:id="39" w:name="_Toc353825548"/>
      <w:r/>
      <w:bookmarkStart w:id="40" w:name="_Toc353873938"/>
      <w:r/>
      <w:bookmarkStart w:id="41" w:name="_Toc127161488"/>
      <w:r/>
      <w:bookmarkStart w:id="42" w:name="_Toc226965856"/>
      <w:r/>
      <w:bookmarkStart w:id="43" w:name="_Toc127151777"/>
      <w:r/>
      <w:bookmarkStart w:id="44" w:name="_Toc512937850"/>
      <w:r/>
      <w:bookmarkStart w:id="45" w:name="_Toc305158854"/>
      <w:r/>
      <w:bookmarkStart w:id="46" w:name="_Toc150774783"/>
      <w:r/>
      <w:bookmarkStart w:id="47" w:name="_Toc264969275"/>
      <w:r/>
      <w:bookmarkStart w:id="48" w:name="_Toc99301420"/>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164229214"/>
      <w:r/>
      <w:bookmarkStart w:id="50" w:name="_Toc127161433"/>
      <w:r/>
      <w:bookmarkStart w:id="51" w:name="_Toc127151720"/>
      <w:r/>
      <w:bookmarkStart w:id="52" w:name="_Toc151193833"/>
      <w:r/>
      <w:bookmarkStart w:id="53" w:name="_Toc149720812"/>
      <w:r/>
      <w:bookmarkStart w:id="54" w:name="_Toc520356144"/>
      <w:r/>
      <w:bookmarkStart w:id="55" w:name="_Toc151193617"/>
      <w:r/>
      <w:bookmarkStart w:id="56" w:name="_Toc164608788"/>
      <w:r/>
      <w:bookmarkStart w:id="57" w:name="_Toc226337215"/>
      <w:r/>
      <w:bookmarkStart w:id="58" w:name="_Toc150774724"/>
      <w:r/>
      <w:bookmarkStart w:id="59" w:name="_Toc151193689"/>
      <w:r/>
      <w:bookmarkStart w:id="60" w:name="_Toc164608633"/>
      <w:r/>
      <w:bookmarkStart w:id="61" w:name="_Toc150480757"/>
      <w:r/>
      <w:bookmarkStart w:id="62" w:name="_Toc226965792"/>
      <w:r/>
      <w:bookmarkStart w:id="63" w:name="_Toc195842884"/>
      <w:r/>
      <w:bookmarkStart w:id="64" w:name="_Toc151193907"/>
      <w:r/>
      <w:bookmarkStart w:id="65" w:name="_Toc164229360"/>
      <w:r/>
      <w:bookmarkStart w:id="66" w:name="_Toc150509270"/>
      <w:r/>
      <w:bookmarkStart w:id="67" w:name="_Toc142311021"/>
      <w:r/>
      <w:bookmarkStart w:id="68" w:name="_Toc226965709"/>
      <w:r/>
      <w:bookmarkStart w:id="69" w:name="_Toc150774619"/>
      <w:r/>
      <w:bookmarkStart w:id="70" w:name="_Toc151193761"/>
      <w:r/>
      <w:bookmarkStart w:id="71" w:name="_Toc226309763"/>
      <w:r/>
      <w:bookmarkStart w:id="72" w:name="_Toc151190146"/>
      <w:r/>
      <w:bookmarkStart w:id="73" w:name="_Toc127151519"/>
      <w:r/>
      <w:bookmarkStart w:id="74" w:name="_Toc164351613"/>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szCs w:val="24"/>
              </w:rPr>
              <w:t xml:space="preserve">□本项目__包为单一产品采购项目。</w:t>
            </w:r>
            <w:r/>
          </w:p>
          <w:p>
            <w:pPr>
              <w:pStyle w:val="1070"/>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ascii="宋体" w:hAnsi="宋体" w:cs="宋体"/>
                <w:b/>
                <w:sz w:val="24"/>
              </w:rPr>
              <w:t xml:space="preserve">10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p>
          <w:p>
            <w:pPr>
              <w:pStyle w:val="1070"/>
              <w:jc w:val="left"/>
              <w:rPr>
                <w:rFonts w:hint="eastAsia" w:ascii="宋体" w:hAnsi="宋体" w:cs="宋体"/>
                <w:b/>
                <w:sz w:val="24"/>
              </w:rPr>
            </w:pPr>
            <w:r>
              <w:rPr>
                <w:rFonts w:hint="eastAsia" w:ascii="宋体" w:hAnsi="宋体" w:cs="宋体"/>
                <w:b/>
                <w:sz w:val="24"/>
              </w:rPr>
              <w:t xml:space="preserve">（二）收费标准：</w:t>
            </w:r>
            <w:r/>
          </w:p>
          <w:p>
            <w:pPr>
              <w:pStyle w:val="1070"/>
              <w:jc w:val="left"/>
              <w:rPr>
                <w:rFonts w:hint="eastAsia" w:ascii="宋体" w:hAnsi="宋体" w:cs="宋体"/>
                <w:sz w:val="24"/>
              </w:rPr>
            </w:pPr>
            <w:r>
              <w:rPr>
                <w:rFonts w:hint="eastAsia" w:ascii="宋体" w:hAnsi="宋体" w:cs="宋体"/>
                <w:sz w:val="24"/>
              </w:rPr>
              <w:t xml:space="preserve">成交供应商须按其成交金额的0.</w:t>
            </w:r>
            <w:r>
              <w:rPr>
                <w:rFonts w:ascii="宋体" w:hAnsi="宋体" w:cs="宋体"/>
                <w:sz w:val="24"/>
              </w:rPr>
              <w:t xml:space="preserve">8</w:t>
            </w:r>
            <w:r>
              <w:rPr>
                <w:rFonts w:hint="eastAsia" w:ascii="宋体" w:hAnsi="宋体" w:cs="宋体"/>
                <w:sz w:val="24"/>
              </w:rPr>
              <w:t xml:space="preserve">%计算并支付代理费。代理费按上述计算方法不足人民币3000元的，按人民币3000元收取。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127151517"/>
      <w:r/>
      <w:bookmarkStart w:id="76" w:name="_Toc150774722"/>
      <w:r/>
      <w:bookmarkStart w:id="77" w:name="_Toc142311019"/>
      <w:r/>
      <w:bookmarkStart w:id="78" w:name="_Toc305158859"/>
      <w:r/>
      <w:bookmarkStart w:id="79" w:name="_Toc305158785"/>
      <w:r/>
      <w:bookmarkStart w:id="80" w:name="_Toc150480755"/>
      <w:r/>
      <w:bookmarkStart w:id="81" w:name="_Toc264969207"/>
      <w:r/>
      <w:bookmarkStart w:id="82" w:name="_Toc195842882"/>
      <w:r/>
      <w:bookmarkStart w:id="83" w:name="_Toc265228355"/>
      <w:r/>
      <w:bookmarkStart w:id="84" w:name="_Toc353873932"/>
      <w:r/>
      <w:bookmarkStart w:id="85" w:name="_Toc353873662"/>
      <w:r/>
      <w:bookmarkStart w:id="86" w:name="_Toc226965790"/>
      <w:r/>
      <w:bookmarkStart w:id="87" w:name="_Toc353825542"/>
      <w:r/>
      <w:bookmarkStart w:id="88" w:name="_Toc226337213"/>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860"/>
      <w:r/>
      <w:bookmarkStart w:id="92" w:name="_Toc226965791"/>
      <w:r/>
      <w:bookmarkStart w:id="93" w:name="_Toc265228356"/>
      <w:r/>
      <w:bookmarkStart w:id="94" w:name="_Toc151193760"/>
      <w:r/>
      <w:bookmarkStart w:id="95" w:name="_Toc151193616"/>
      <w:r/>
      <w:bookmarkStart w:id="96" w:name="_Toc226965708"/>
      <w:r/>
      <w:bookmarkStart w:id="97" w:name="_Toc264969208"/>
      <w:r/>
      <w:bookmarkStart w:id="98" w:name="_Toc305158786"/>
      <w:r/>
      <w:bookmarkStart w:id="99" w:name="_Toc151190145"/>
      <w:r/>
      <w:bookmarkStart w:id="100" w:name="_Toc150774618"/>
      <w:r/>
      <w:bookmarkStart w:id="101" w:name="_Toc150480756"/>
      <w:r/>
      <w:bookmarkStart w:id="102" w:name="_Toc151193688"/>
      <w:r/>
      <w:bookmarkStart w:id="103" w:name="_Toc142311020"/>
      <w:r/>
      <w:bookmarkStart w:id="104" w:name="_Toc150774723"/>
      <w:r/>
      <w:bookmarkStart w:id="105" w:name="_Toc151193832"/>
      <w:r/>
      <w:bookmarkStart w:id="106" w:name="_Toc226309762"/>
      <w:r/>
      <w:bookmarkStart w:id="107" w:name="_Toc151193906"/>
      <w:r/>
      <w:bookmarkStart w:id="108" w:name="_Toc150509269"/>
      <w:r/>
      <w:bookmarkStart w:id="109" w:name="_Toc226337214"/>
      <w:r/>
      <w:bookmarkStart w:id="110" w:name="_Toc19584288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264969209"/>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64229215"/>
      <w:r/>
      <w:bookmarkStart w:id="116" w:name="_Toc164229361"/>
      <w:r/>
      <w:bookmarkStart w:id="117" w:name="_Toc151193690"/>
      <w:r/>
      <w:bookmarkStart w:id="118" w:name="_Toc150774620"/>
      <w:r/>
      <w:bookmarkStart w:id="119" w:name="_Toc127151520"/>
      <w:r/>
      <w:bookmarkStart w:id="120" w:name="_Toc264969210"/>
      <w:r/>
      <w:bookmarkStart w:id="121" w:name="_Toc150774725"/>
      <w:r/>
      <w:bookmarkStart w:id="122" w:name="_Toc151193834"/>
      <w:r/>
      <w:bookmarkStart w:id="123" w:name="_Toc151193618"/>
      <w:r/>
      <w:bookmarkStart w:id="124" w:name="_Toc305158862"/>
      <w:r/>
      <w:bookmarkStart w:id="125" w:name="_Toc164351614"/>
      <w:r/>
      <w:bookmarkStart w:id="126" w:name="_Toc265228358"/>
      <w:r/>
      <w:bookmarkStart w:id="127" w:name="_Toc305158788"/>
      <w:r/>
      <w:bookmarkStart w:id="128" w:name="_Toc164608789"/>
      <w:r/>
      <w:bookmarkStart w:id="129" w:name="_Toc150480758"/>
      <w:r/>
      <w:bookmarkStart w:id="130" w:name="_Toc226309764"/>
      <w:r/>
      <w:bookmarkStart w:id="131" w:name="_Toc164608634"/>
      <w:r/>
      <w:bookmarkStart w:id="132" w:name="_Toc226337216"/>
      <w:r/>
      <w:bookmarkStart w:id="133" w:name="_Toc127161434"/>
      <w:r/>
      <w:bookmarkStart w:id="134" w:name="_Toc151190147"/>
      <w:r/>
      <w:bookmarkStart w:id="135" w:name="_Toc149720813"/>
      <w:r/>
      <w:bookmarkStart w:id="136" w:name="_Toc142311022"/>
      <w:r/>
      <w:bookmarkStart w:id="137" w:name="_Toc195842885"/>
      <w:r/>
      <w:bookmarkStart w:id="138" w:name="_Toc151193762"/>
      <w:r/>
      <w:bookmarkStart w:id="139" w:name="_Toc226965793"/>
      <w:r/>
      <w:bookmarkStart w:id="140" w:name="_Toc151193908"/>
      <w:r/>
      <w:bookmarkStart w:id="141" w:name="_Toc226965710"/>
      <w:r/>
      <w:bookmarkStart w:id="142" w:name="_Toc150509271"/>
      <w:r/>
      <w:bookmarkStart w:id="143" w:name="_Toc127151721"/>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226965712"/>
      <w:r/>
      <w:bookmarkStart w:id="145" w:name="_Toc520356146"/>
      <w:r/>
      <w:bookmarkStart w:id="146" w:name="_Toc151190149"/>
      <w:r/>
      <w:bookmarkStart w:id="147" w:name="_Toc150509273"/>
      <w:r/>
      <w:bookmarkStart w:id="148" w:name="_Toc151193620"/>
      <w:r/>
      <w:bookmarkStart w:id="149" w:name="_Toc151193692"/>
      <w:r/>
      <w:bookmarkStart w:id="150" w:name="_Toc226337218"/>
      <w:r/>
      <w:bookmarkStart w:id="151" w:name="_Toc305158790"/>
      <w:r/>
      <w:bookmarkStart w:id="152" w:name="_Toc151193764"/>
      <w:r/>
      <w:bookmarkStart w:id="153" w:name="_Toc305158864"/>
      <w:r/>
      <w:bookmarkStart w:id="154" w:name="_Toc226965795"/>
      <w:r/>
      <w:bookmarkStart w:id="155" w:name="_Toc264969212"/>
      <w:r/>
      <w:bookmarkStart w:id="156" w:name="_Toc150774622"/>
      <w:r/>
      <w:bookmarkStart w:id="157" w:name="_Toc151193910"/>
      <w:r/>
      <w:bookmarkStart w:id="158" w:name="_Toc195842887"/>
      <w:r/>
      <w:bookmarkStart w:id="159" w:name="_Toc127151522"/>
      <w:r/>
      <w:bookmarkStart w:id="160" w:name="_Toc142311024"/>
      <w:r/>
      <w:bookmarkStart w:id="161" w:name="_Toc226309766"/>
      <w:r/>
      <w:bookmarkStart w:id="162" w:name="_Toc150480760"/>
      <w:r/>
      <w:bookmarkStart w:id="163" w:name="_Toc151193836"/>
      <w:r/>
      <w:bookmarkStart w:id="164" w:name="_Toc265228360"/>
      <w:r/>
      <w:bookmarkStart w:id="165" w:name="_Toc150774727"/>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520356147"/>
      <w:r/>
      <w:bookmarkStart w:id="168" w:name="_Toc164608637"/>
      <w:r/>
      <w:bookmarkStart w:id="169" w:name="_Toc151190150"/>
      <w:r/>
      <w:bookmarkStart w:id="170" w:name="_Toc226965713"/>
      <w:r/>
      <w:bookmarkStart w:id="171" w:name="_Toc127151523"/>
      <w:r/>
      <w:bookmarkStart w:id="172" w:name="_Toc127151724"/>
      <w:r/>
      <w:bookmarkStart w:id="173" w:name="_Toc226965796"/>
      <w:r/>
      <w:bookmarkStart w:id="174" w:name="_Toc164229364"/>
      <w:r/>
      <w:bookmarkStart w:id="175" w:name="_Toc142311025"/>
      <w:r/>
      <w:bookmarkStart w:id="176" w:name="_Toc151193837"/>
      <w:r/>
      <w:bookmarkStart w:id="177" w:name="_Toc127161437"/>
      <w:r/>
      <w:bookmarkStart w:id="178" w:name="_Toc226337219"/>
      <w:r/>
      <w:bookmarkStart w:id="179" w:name="_Toc164351617"/>
      <w:r/>
      <w:bookmarkStart w:id="180" w:name="_Toc164229218"/>
      <w:r/>
      <w:bookmarkStart w:id="181" w:name="_Toc151193911"/>
      <w:r/>
      <w:bookmarkStart w:id="182" w:name="_Toc150480761"/>
      <w:r/>
      <w:bookmarkStart w:id="183" w:name="_Toc264969213"/>
      <w:r/>
      <w:bookmarkStart w:id="184" w:name="_Toc265228361"/>
      <w:r/>
      <w:bookmarkStart w:id="185" w:name="_Toc151193693"/>
      <w:r/>
      <w:bookmarkStart w:id="186" w:name="_Toc164608792"/>
      <w:r/>
      <w:bookmarkStart w:id="187" w:name="_Toc151193765"/>
      <w:r/>
      <w:bookmarkStart w:id="188" w:name="_Toc149720816"/>
      <w:r/>
      <w:bookmarkStart w:id="189" w:name="_Toc195842888"/>
      <w:r/>
      <w:bookmarkStart w:id="190" w:name="_Toc151193621"/>
      <w:r/>
      <w:bookmarkStart w:id="191" w:name="_Toc226309767"/>
      <w:r/>
      <w:bookmarkStart w:id="192" w:name="_Toc305158865"/>
      <w:r/>
      <w:bookmarkStart w:id="193" w:name="_Toc150774728"/>
      <w:r/>
      <w:bookmarkStart w:id="194" w:name="_Toc305158791"/>
      <w:r/>
      <w:bookmarkStart w:id="195" w:name="_Toc150509274"/>
      <w:r/>
      <w:bookmarkStart w:id="196" w:name="_Toc15077462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7" w:name="_Toc127151526"/>
      <w:r/>
      <w:bookmarkStart w:id="198" w:name="_Toc305158794"/>
      <w:r/>
      <w:bookmarkStart w:id="199" w:name="_Toc150480764"/>
      <w:r/>
      <w:bookmarkStart w:id="200" w:name="_Toc151193840"/>
      <w:r/>
      <w:bookmarkStart w:id="201" w:name="_Toc151193914"/>
      <w:r/>
      <w:bookmarkStart w:id="202" w:name="_Toc151190153"/>
      <w:r/>
      <w:bookmarkStart w:id="203" w:name="_Toc151193696"/>
      <w:r/>
      <w:bookmarkStart w:id="204" w:name="_Toc142311028"/>
      <w:r/>
      <w:bookmarkStart w:id="205" w:name="_Toc226309770"/>
      <w:r/>
      <w:bookmarkStart w:id="206" w:name="_Toc265228364"/>
      <w:r/>
      <w:bookmarkStart w:id="207" w:name="_Toc520356150"/>
      <w:r/>
      <w:bookmarkStart w:id="208" w:name="_Toc226337222"/>
      <w:r/>
      <w:bookmarkStart w:id="209" w:name="_Toc264969216"/>
      <w:r/>
      <w:bookmarkStart w:id="210" w:name="_Toc516367020"/>
      <w:r/>
      <w:bookmarkStart w:id="211" w:name="_Toc305158868"/>
      <w:r/>
      <w:bookmarkStart w:id="212" w:name="_Toc226965799"/>
      <w:r/>
      <w:bookmarkStart w:id="213" w:name="_Toc150774731"/>
      <w:r/>
      <w:bookmarkStart w:id="214" w:name="_Toc150509277"/>
      <w:r/>
      <w:bookmarkStart w:id="215" w:name="_Toc226965716"/>
      <w:r/>
      <w:bookmarkStart w:id="216" w:name="_Toc150774626"/>
      <w:r/>
      <w:bookmarkStart w:id="217" w:name="_Toc151193768"/>
      <w:r/>
      <w:bookmarkStart w:id="218" w:name="_Toc151193624"/>
      <w:r/>
      <w:bookmarkStart w:id="219" w:name="_Toc19584289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65228365"/>
      <w:r/>
      <w:bookmarkStart w:id="221" w:name="_Toc127161441"/>
      <w:r/>
      <w:bookmarkStart w:id="222" w:name="_Toc151193841"/>
      <w:r/>
      <w:bookmarkStart w:id="223" w:name="_Toc195842892"/>
      <w:r/>
      <w:bookmarkStart w:id="224" w:name="_Toc150480765"/>
      <w:r/>
      <w:bookmarkStart w:id="225" w:name="_Toc520356151"/>
      <w:r/>
      <w:bookmarkStart w:id="226" w:name="_Toc226965717"/>
      <w:r/>
      <w:bookmarkStart w:id="227" w:name="_Toc516367021"/>
      <w:r/>
      <w:bookmarkStart w:id="228" w:name="_Toc164351621"/>
      <w:r/>
      <w:bookmarkStart w:id="229" w:name="_Toc151193697"/>
      <w:r/>
      <w:bookmarkStart w:id="230" w:name="_Toc305158795"/>
      <w:r/>
      <w:bookmarkStart w:id="231" w:name="_Toc164608641"/>
      <w:r/>
      <w:bookmarkStart w:id="232" w:name="_Toc127151728"/>
      <w:r/>
      <w:bookmarkStart w:id="233" w:name="_Toc127151527"/>
      <w:r/>
      <w:bookmarkStart w:id="234" w:name="_Toc264969217"/>
      <w:r/>
      <w:bookmarkStart w:id="235" w:name="_Toc226337223"/>
      <w:r/>
      <w:bookmarkStart w:id="236" w:name="_Toc164229368"/>
      <w:r/>
      <w:bookmarkStart w:id="237" w:name="_Toc149720820"/>
      <w:r/>
      <w:bookmarkStart w:id="238" w:name="_Toc150774627"/>
      <w:r/>
      <w:bookmarkStart w:id="239" w:name="_Toc226965800"/>
      <w:r/>
      <w:bookmarkStart w:id="240" w:name="_Toc305158869"/>
      <w:r/>
      <w:bookmarkStart w:id="241" w:name="_Toc151193769"/>
      <w:r/>
      <w:bookmarkStart w:id="242" w:name="_Toc150509278"/>
      <w:r/>
      <w:bookmarkStart w:id="243" w:name="_Toc142311029"/>
      <w:r/>
      <w:bookmarkStart w:id="244" w:name="_Toc151193915"/>
      <w:r/>
      <w:bookmarkStart w:id="245" w:name="_Toc164229222"/>
      <w:r/>
      <w:bookmarkStart w:id="246" w:name="_Toc150774732"/>
      <w:r/>
      <w:bookmarkStart w:id="247" w:name="_Toc226309771"/>
      <w:r/>
      <w:bookmarkStart w:id="248" w:name="_Toc151193625"/>
      <w:r/>
      <w:bookmarkStart w:id="249" w:name="_Toc151190154"/>
      <w:r/>
      <w:bookmarkStart w:id="250" w:name="_Toc164608796"/>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64229223"/>
      <w:r/>
      <w:bookmarkStart w:id="252" w:name="_Toc151190155"/>
      <w:r/>
      <w:bookmarkStart w:id="253" w:name="_Toc226965718"/>
      <w:r/>
      <w:bookmarkStart w:id="254" w:name="_Toc127161442"/>
      <w:r/>
      <w:bookmarkStart w:id="255" w:name="_Toc305158796"/>
      <w:r/>
      <w:bookmarkStart w:id="256" w:name="_Toc520356152"/>
      <w:r/>
      <w:bookmarkStart w:id="257" w:name="_Toc226965801"/>
      <w:r/>
      <w:bookmarkStart w:id="258" w:name="_Toc516367022"/>
      <w:r/>
      <w:bookmarkStart w:id="259" w:name="_Ref467306195"/>
      <w:r/>
      <w:bookmarkStart w:id="260" w:name="_Ref467306676"/>
      <w:r/>
      <w:bookmarkStart w:id="261" w:name="_Toc127151528"/>
      <w:r/>
      <w:bookmarkStart w:id="262" w:name="_Toc142311030"/>
      <w:r/>
      <w:bookmarkStart w:id="263" w:name="_Toc226337224"/>
      <w:r/>
      <w:bookmarkStart w:id="264" w:name="_Toc226309772"/>
      <w:r/>
      <w:bookmarkStart w:id="265" w:name="_Toc151193770"/>
      <w:r/>
      <w:bookmarkStart w:id="266" w:name="_Toc151193626"/>
      <w:r/>
      <w:bookmarkStart w:id="267" w:name="_Toc127151729"/>
      <w:r/>
      <w:bookmarkStart w:id="268" w:name="_Toc150774733"/>
      <w:r/>
      <w:bookmarkStart w:id="269" w:name="_Toc150509279"/>
      <w:r/>
      <w:bookmarkStart w:id="270" w:name="_Toc164608642"/>
      <w:r/>
      <w:bookmarkStart w:id="271" w:name="_Toc264969218"/>
      <w:r/>
      <w:bookmarkStart w:id="272" w:name="_Toc305158870"/>
      <w:r/>
      <w:bookmarkStart w:id="273" w:name="_Toc151193916"/>
      <w:r/>
      <w:bookmarkStart w:id="274" w:name="_Toc150774628"/>
      <w:r/>
      <w:bookmarkStart w:id="275" w:name="_Toc149720821"/>
      <w:r/>
      <w:bookmarkStart w:id="276" w:name="_Toc164608797"/>
      <w:r/>
      <w:bookmarkStart w:id="277" w:name="_Toc150480766"/>
      <w:r/>
      <w:bookmarkStart w:id="278" w:name="_Toc151193842"/>
      <w:r/>
      <w:bookmarkStart w:id="279" w:name="_Toc164229369"/>
      <w:r/>
      <w:bookmarkStart w:id="280" w:name="_Toc164351622"/>
      <w:r/>
      <w:bookmarkStart w:id="281" w:name="_Toc151193698"/>
      <w:r/>
      <w:bookmarkStart w:id="282" w:name="_Toc265228366"/>
      <w:r/>
      <w:bookmarkStart w:id="283" w:name="_Toc195842893"/>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50774735"/>
      <w:r/>
      <w:bookmarkStart w:id="287" w:name="_Toc164608799"/>
      <w:r/>
      <w:bookmarkStart w:id="288" w:name="_Toc150480768"/>
      <w:r/>
      <w:bookmarkStart w:id="289" w:name="_Toc164229225"/>
      <w:r/>
      <w:bookmarkStart w:id="290" w:name="_Toc127151731"/>
      <w:r/>
      <w:bookmarkStart w:id="291" w:name="_Toc142311032"/>
      <w:r/>
      <w:bookmarkStart w:id="292" w:name="_Toc151193628"/>
      <w:r/>
      <w:bookmarkStart w:id="293" w:name="_Toc151193700"/>
      <w:r/>
      <w:bookmarkStart w:id="294" w:name="_Toc149720823"/>
      <w:r/>
      <w:bookmarkStart w:id="295" w:name="_Toc195842895"/>
      <w:r/>
      <w:bookmarkStart w:id="296" w:name="_Toc164351624"/>
      <w:r/>
      <w:bookmarkStart w:id="297" w:name="_Toc151190157"/>
      <w:r/>
      <w:bookmarkStart w:id="298" w:name="_Toc127161444"/>
      <w:r/>
      <w:bookmarkStart w:id="299" w:name="_Toc150509281"/>
      <w:r/>
      <w:bookmarkStart w:id="300" w:name="_Toc164608644"/>
      <w:r/>
      <w:bookmarkStart w:id="301" w:name="_Toc151193844"/>
      <w:r/>
      <w:bookmarkStart w:id="302" w:name="_Toc151193918"/>
      <w:r/>
      <w:bookmarkStart w:id="303" w:name="_Toc164229371"/>
      <w:r/>
      <w:bookmarkStart w:id="304" w:name="_Toc151193772"/>
      <w:r/>
      <w:bookmarkStart w:id="305" w:name="_Toc127151530"/>
      <w:r/>
      <w:bookmarkStart w:id="306" w:name="_Toc1507746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9720824"/>
      <w:r/>
      <w:bookmarkStart w:id="308" w:name="_Toc151193919"/>
      <w:r/>
      <w:bookmarkStart w:id="309" w:name="_Toc150774631"/>
      <w:r/>
      <w:bookmarkStart w:id="310" w:name="_Toc264969221"/>
      <w:r/>
      <w:bookmarkStart w:id="311" w:name="_Toc127151531"/>
      <w:r/>
      <w:bookmarkStart w:id="312" w:name="_Toc164229372"/>
      <w:r/>
      <w:bookmarkStart w:id="313" w:name="_Toc305158873"/>
      <w:r/>
      <w:bookmarkStart w:id="314" w:name="_Toc164608800"/>
      <w:r/>
      <w:bookmarkStart w:id="315" w:name="_Toc305158799"/>
      <w:r/>
      <w:bookmarkStart w:id="316" w:name="_Toc164608645"/>
      <w:r/>
      <w:bookmarkStart w:id="317" w:name="_Toc151193701"/>
      <w:r/>
      <w:bookmarkStart w:id="318" w:name="_Toc151193845"/>
      <w:r/>
      <w:bookmarkStart w:id="319" w:name="_Toc150509282"/>
      <w:r/>
      <w:bookmarkStart w:id="320" w:name="_Toc151193773"/>
      <w:r/>
      <w:bookmarkStart w:id="321" w:name="_Toc164351625"/>
      <w:r/>
      <w:bookmarkStart w:id="322" w:name="_Toc127161445"/>
      <w:r/>
      <w:bookmarkStart w:id="323" w:name="_Toc150480769"/>
      <w:r/>
      <w:bookmarkStart w:id="324" w:name="_Ref467306513"/>
      <w:r/>
      <w:bookmarkStart w:id="325" w:name="_Toc520356156"/>
      <w:r/>
      <w:bookmarkStart w:id="326" w:name="_Toc226965721"/>
      <w:r/>
      <w:bookmarkStart w:id="327" w:name="_Toc226337227"/>
      <w:r/>
      <w:bookmarkStart w:id="328" w:name="_Toc265228369"/>
      <w:r/>
      <w:bookmarkStart w:id="329" w:name="_Toc150774736"/>
      <w:r/>
      <w:bookmarkStart w:id="330" w:name="_Toc127151732"/>
      <w:r/>
      <w:bookmarkStart w:id="331" w:name="_Toc195842896"/>
      <w:r/>
      <w:bookmarkStart w:id="332" w:name="_Toc142311033"/>
      <w:r/>
      <w:bookmarkStart w:id="333" w:name="_Toc226309775"/>
      <w:r/>
      <w:bookmarkStart w:id="334" w:name="_Toc151193629"/>
      <w:r/>
      <w:bookmarkStart w:id="335" w:name="_Toc226965804"/>
      <w:r/>
      <w:bookmarkStart w:id="336" w:name="_Toc164229226"/>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26337228"/>
      <w:r/>
      <w:bookmarkStart w:id="339" w:name="_Toc305158800"/>
      <w:r/>
      <w:bookmarkStart w:id="340" w:name="_Toc264969222"/>
      <w:r/>
      <w:bookmarkStart w:id="341" w:name="_Toc520356157"/>
      <w:r/>
      <w:bookmarkStart w:id="342" w:name="_Toc151190159"/>
      <w:r/>
      <w:bookmarkStart w:id="343" w:name="_Toc164608801"/>
      <w:r/>
      <w:bookmarkStart w:id="344" w:name="_Toc195842897"/>
      <w:r/>
      <w:bookmarkStart w:id="345" w:name="_Toc150774737"/>
      <w:r/>
      <w:bookmarkStart w:id="346" w:name="_Toc164229373"/>
      <w:r/>
      <w:bookmarkStart w:id="347" w:name="_Toc265228370"/>
      <w:r/>
      <w:bookmarkStart w:id="348" w:name="_Toc151193920"/>
      <w:r/>
      <w:bookmarkStart w:id="349" w:name="_Toc127161446"/>
      <w:r/>
      <w:bookmarkStart w:id="350" w:name="_Toc151193846"/>
      <w:r/>
      <w:bookmarkStart w:id="351" w:name="_Toc164229227"/>
      <w:r/>
      <w:bookmarkStart w:id="352" w:name="_Toc150480770"/>
      <w:r/>
      <w:bookmarkStart w:id="353" w:name="_Toc127151733"/>
      <w:r/>
      <w:bookmarkStart w:id="354" w:name="_Toc150774632"/>
      <w:r/>
      <w:bookmarkStart w:id="355" w:name="_Toc164608646"/>
      <w:r/>
      <w:bookmarkStart w:id="356" w:name="_Toc151193774"/>
      <w:r/>
      <w:bookmarkStart w:id="357" w:name="_Toc151193630"/>
      <w:r/>
      <w:bookmarkStart w:id="358" w:name="_Toc142311034"/>
      <w:r/>
      <w:bookmarkStart w:id="359" w:name="_Toc151193702"/>
      <w:r/>
      <w:bookmarkStart w:id="360" w:name="_Toc305158874"/>
      <w:r/>
      <w:bookmarkStart w:id="361" w:name="_Toc127151532"/>
      <w:r/>
      <w:bookmarkStart w:id="362" w:name="_Toc149720825"/>
      <w:r/>
      <w:bookmarkStart w:id="363" w:name="_Toc226965805"/>
      <w:r/>
      <w:bookmarkStart w:id="364" w:name="_Toc150509283"/>
      <w:r/>
      <w:bookmarkStart w:id="365" w:name="_Toc164351626"/>
      <w:r/>
      <w:bookmarkStart w:id="366" w:name="_Toc226965722"/>
      <w:r/>
      <w:bookmarkStart w:id="367" w:name="_Toc22630977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351627"/>
      <w:r/>
      <w:bookmarkStart w:id="369" w:name="_Toc151193631"/>
      <w:r/>
      <w:bookmarkStart w:id="370" w:name="_Toc150774738"/>
      <w:r/>
      <w:bookmarkStart w:id="371" w:name="_Toc195842898"/>
      <w:r/>
      <w:bookmarkStart w:id="372" w:name="_Toc226337229"/>
      <w:r/>
      <w:bookmarkStart w:id="373" w:name="_Toc305158875"/>
      <w:r/>
      <w:bookmarkStart w:id="374" w:name="_Toc264969223"/>
      <w:r/>
      <w:bookmarkStart w:id="375" w:name="_Toc520356158"/>
      <w:r/>
      <w:bookmarkStart w:id="376" w:name="_Toc164229228"/>
      <w:r/>
      <w:bookmarkStart w:id="377" w:name="_Toc150509284"/>
      <w:r/>
      <w:bookmarkStart w:id="378" w:name="_Toc164229374"/>
      <w:r/>
      <w:bookmarkStart w:id="379" w:name="_Toc151193847"/>
      <w:r/>
      <w:bookmarkStart w:id="380" w:name="_Toc164608802"/>
      <w:r/>
      <w:bookmarkStart w:id="381" w:name="_Toc150774633"/>
      <w:r/>
      <w:bookmarkStart w:id="382" w:name="_Toc127151734"/>
      <w:r/>
      <w:bookmarkStart w:id="383" w:name="_Toc151193921"/>
      <w:r/>
      <w:bookmarkStart w:id="384" w:name="_Toc150480771"/>
      <w:r/>
      <w:bookmarkStart w:id="385" w:name="_Toc127151533"/>
      <w:r/>
      <w:bookmarkStart w:id="386" w:name="_Toc149720826"/>
      <w:r/>
      <w:bookmarkStart w:id="387" w:name="_Toc151193775"/>
      <w:r/>
      <w:bookmarkStart w:id="388" w:name="_Toc164608647"/>
      <w:r/>
      <w:bookmarkStart w:id="389" w:name="_Toc305158801"/>
      <w:r/>
      <w:bookmarkStart w:id="390" w:name="_Toc226965806"/>
      <w:r/>
      <w:bookmarkStart w:id="391" w:name="_Toc142311035"/>
      <w:r/>
      <w:bookmarkStart w:id="392" w:name="_Toc127161447"/>
      <w:r/>
      <w:bookmarkStart w:id="393" w:name="_Toc151193703"/>
      <w:r/>
      <w:bookmarkStart w:id="394" w:name="_Toc151190160"/>
      <w:r/>
      <w:bookmarkStart w:id="395" w:name="_Toc265228371"/>
      <w:r/>
      <w:bookmarkStart w:id="396" w:name="_Toc226965723"/>
      <w:r/>
      <w:bookmarkStart w:id="397" w:name="_Toc22630977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0161"/>
      <w:r/>
      <w:bookmarkStart w:id="399" w:name="_Toc226337230"/>
      <w:r/>
      <w:bookmarkStart w:id="400" w:name="_Toc226965807"/>
      <w:r/>
      <w:bookmarkStart w:id="401" w:name="_Toc151193922"/>
      <w:r/>
      <w:bookmarkStart w:id="402" w:name="_Toc150509285"/>
      <w:r/>
      <w:bookmarkStart w:id="403" w:name="_Toc305158802"/>
      <w:r/>
      <w:bookmarkStart w:id="404" w:name="_Toc226309778"/>
      <w:r/>
      <w:bookmarkStart w:id="405" w:name="_Toc150480772"/>
      <w:r/>
      <w:bookmarkStart w:id="406" w:name="_Toc305158876"/>
      <w:r/>
      <w:bookmarkStart w:id="407" w:name="_Toc151193848"/>
      <w:r/>
      <w:bookmarkStart w:id="408" w:name="_Toc264969224"/>
      <w:r/>
      <w:bookmarkStart w:id="409" w:name="_Toc265228372"/>
      <w:r/>
      <w:bookmarkStart w:id="410" w:name="_Toc150774634"/>
      <w:r/>
      <w:bookmarkStart w:id="411" w:name="_Toc127151534"/>
      <w:r/>
      <w:bookmarkStart w:id="412" w:name="_Toc226965724"/>
      <w:r/>
      <w:bookmarkStart w:id="413" w:name="_Toc151193632"/>
      <w:r/>
      <w:bookmarkStart w:id="414" w:name="_Toc142311036"/>
      <w:r/>
      <w:bookmarkStart w:id="415" w:name="_Toc195842899"/>
      <w:r/>
      <w:bookmarkStart w:id="416" w:name="_Toc151193704"/>
      <w:r/>
      <w:bookmarkStart w:id="417" w:name="_Toc151193776"/>
      <w:r/>
      <w:bookmarkStart w:id="418" w:name="_Toc520356159"/>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305158877"/>
      <w:r/>
      <w:bookmarkStart w:id="421" w:name="_Toc226309779"/>
      <w:r/>
      <w:bookmarkStart w:id="422" w:name="_Toc127151535"/>
      <w:r/>
      <w:bookmarkStart w:id="423" w:name="_Toc151193633"/>
      <w:r/>
      <w:bookmarkStart w:id="424" w:name="_Toc164229230"/>
      <w:r/>
      <w:bookmarkStart w:id="425" w:name="_Toc195842900"/>
      <w:r/>
      <w:bookmarkStart w:id="426" w:name="_Toc150509286"/>
      <w:r/>
      <w:bookmarkStart w:id="427" w:name="_Toc305158803"/>
      <w:r/>
      <w:bookmarkStart w:id="428" w:name="_Toc164608649"/>
      <w:r/>
      <w:bookmarkStart w:id="429" w:name="_Toc264969225"/>
      <w:r/>
      <w:bookmarkStart w:id="430" w:name="_Toc149720828"/>
      <w:r/>
      <w:bookmarkStart w:id="431" w:name="_Toc265228373"/>
      <w:r/>
      <w:bookmarkStart w:id="432" w:name="_Toc226965808"/>
      <w:r/>
      <w:bookmarkStart w:id="433" w:name="_Toc226965725"/>
      <w:r/>
      <w:bookmarkStart w:id="434" w:name="_Toc151193849"/>
      <w:r/>
      <w:bookmarkStart w:id="435" w:name="_Toc142311037"/>
      <w:r/>
      <w:bookmarkStart w:id="436" w:name="_Toc164229376"/>
      <w:r/>
      <w:bookmarkStart w:id="437" w:name="_Toc150480773"/>
      <w:r/>
      <w:bookmarkStart w:id="438" w:name="_Toc150774740"/>
      <w:r/>
      <w:bookmarkStart w:id="439" w:name="_Toc226337231"/>
      <w:r/>
      <w:bookmarkStart w:id="440" w:name="_Toc151193777"/>
      <w:r/>
      <w:bookmarkStart w:id="441" w:name="_Toc151193923"/>
      <w:r/>
      <w:bookmarkStart w:id="442" w:name="_Toc520356160"/>
      <w:r/>
      <w:bookmarkStart w:id="443" w:name="_Toc127151736"/>
      <w:r/>
      <w:bookmarkStart w:id="444" w:name="_Toc150774635"/>
      <w:r/>
      <w:bookmarkStart w:id="445" w:name="_Toc127161449"/>
      <w:r/>
      <w:bookmarkStart w:id="446" w:name="_Toc151193705"/>
      <w:r/>
      <w:bookmarkStart w:id="447" w:name="_Toc151190162"/>
      <w:r/>
      <w:bookmarkStart w:id="448" w:name="_Toc164351629"/>
      <w:r/>
      <w:bookmarkStart w:id="449" w:name="_Toc164608804"/>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64229231"/>
      <w:r/>
      <w:bookmarkStart w:id="451" w:name="_Toc164351630"/>
      <w:r/>
      <w:bookmarkStart w:id="452" w:name="_Toc520356161"/>
      <w:r/>
      <w:bookmarkStart w:id="453" w:name="_Toc151190163"/>
      <w:r/>
      <w:bookmarkStart w:id="454" w:name="_Toc265228374"/>
      <w:r/>
      <w:bookmarkStart w:id="455" w:name="_Toc151193924"/>
      <w:r/>
      <w:bookmarkStart w:id="456" w:name="_Toc195842901"/>
      <w:r/>
      <w:bookmarkStart w:id="457" w:name="_Toc164229377"/>
      <w:r/>
      <w:bookmarkStart w:id="458" w:name="_Toc127161450"/>
      <w:r/>
      <w:bookmarkStart w:id="459" w:name="_Toc226309780"/>
      <w:r/>
      <w:bookmarkStart w:id="460" w:name="_Toc151193634"/>
      <w:r/>
      <w:bookmarkStart w:id="461" w:name="_Toc151193778"/>
      <w:r/>
      <w:bookmarkStart w:id="462" w:name="_Toc226337232"/>
      <w:r/>
      <w:bookmarkStart w:id="463" w:name="_Toc150774741"/>
      <w:r/>
      <w:bookmarkStart w:id="464" w:name="_Toc149720829"/>
      <w:r/>
      <w:bookmarkStart w:id="465" w:name="_Toc127151737"/>
      <w:r/>
      <w:bookmarkStart w:id="466" w:name="_Toc226965726"/>
      <w:r/>
      <w:bookmarkStart w:id="467" w:name="_Toc164608805"/>
      <w:r/>
      <w:bookmarkStart w:id="468" w:name="_Toc142311038"/>
      <w:r/>
      <w:bookmarkStart w:id="469" w:name="_Toc151193850"/>
      <w:r/>
      <w:bookmarkStart w:id="470" w:name="_Toc226965809"/>
      <w:r/>
      <w:bookmarkStart w:id="471" w:name="_Toc264969226"/>
      <w:r/>
      <w:bookmarkStart w:id="472" w:name="_Toc305158804"/>
      <w:r/>
      <w:bookmarkStart w:id="473" w:name="_Toc164608650"/>
      <w:r/>
      <w:bookmarkStart w:id="474" w:name="_Toc150509287"/>
      <w:r/>
      <w:bookmarkStart w:id="475" w:name="_Toc127151536"/>
      <w:r/>
      <w:bookmarkStart w:id="476" w:name="_Toc151193706"/>
      <w:r/>
      <w:bookmarkStart w:id="477" w:name="_Toc150774636"/>
      <w:r/>
      <w:bookmarkStart w:id="478" w:name="_Toc150480774"/>
      <w:r/>
      <w:bookmarkStart w:id="479" w:name="_Toc305158878"/>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351631"/>
      <w:r/>
      <w:bookmarkStart w:id="481" w:name="_Toc226965810"/>
      <w:r/>
      <w:bookmarkStart w:id="482" w:name="_Toc149720830"/>
      <w:r/>
      <w:bookmarkStart w:id="483" w:name="_Toc151193925"/>
      <w:r/>
      <w:bookmarkStart w:id="484" w:name="_Toc150774742"/>
      <w:r/>
      <w:bookmarkStart w:id="485" w:name="_Toc305158879"/>
      <w:r/>
      <w:bookmarkStart w:id="486" w:name="_Toc265228375"/>
      <w:r/>
      <w:bookmarkStart w:id="487" w:name="_Toc151193779"/>
      <w:r/>
      <w:bookmarkStart w:id="488" w:name="_Toc305158805"/>
      <w:r/>
      <w:bookmarkStart w:id="489" w:name="_Toc127161451"/>
      <w:r/>
      <w:bookmarkStart w:id="490" w:name="_Toc127151738"/>
      <w:r/>
      <w:bookmarkStart w:id="491" w:name="_Toc164229378"/>
      <w:r/>
      <w:bookmarkStart w:id="492" w:name="_Toc264969227"/>
      <w:r/>
      <w:bookmarkStart w:id="493" w:name="_Toc150509288"/>
      <w:r/>
      <w:bookmarkStart w:id="494" w:name="_Toc226337233"/>
      <w:r/>
      <w:bookmarkStart w:id="495" w:name="_Toc164608651"/>
      <w:r/>
      <w:bookmarkStart w:id="496" w:name="_Toc520356162"/>
      <w:r/>
      <w:bookmarkStart w:id="497" w:name="_Toc164608806"/>
      <w:r/>
      <w:bookmarkStart w:id="498" w:name="_Toc151193707"/>
      <w:r/>
      <w:bookmarkStart w:id="499" w:name="_Toc226965727"/>
      <w:r/>
      <w:bookmarkStart w:id="500" w:name="_Toc195842902"/>
      <w:r/>
      <w:bookmarkStart w:id="501" w:name="_Toc127151537"/>
      <w:r/>
      <w:bookmarkStart w:id="502" w:name="_Toc164229232"/>
      <w:r/>
      <w:bookmarkStart w:id="503" w:name="_Toc226309781"/>
      <w:r/>
      <w:bookmarkStart w:id="504" w:name="_Toc151193851"/>
      <w:r/>
      <w:bookmarkStart w:id="505" w:name="_Toc151190164"/>
      <w:r/>
      <w:bookmarkStart w:id="506" w:name="_Toc150774637"/>
      <w:r/>
      <w:bookmarkStart w:id="507" w:name="_Toc142311039"/>
      <w:r/>
      <w:bookmarkStart w:id="508" w:name="_Toc151193635"/>
      <w:r/>
      <w:bookmarkStart w:id="509" w:name="_Toc15048077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150509289"/>
      <w:r/>
      <w:bookmarkStart w:id="511" w:name="_Toc151193636"/>
      <w:r/>
      <w:bookmarkStart w:id="512" w:name="_Toc305158806"/>
      <w:r/>
      <w:bookmarkStart w:id="513" w:name="_Toc195842903"/>
      <w:r/>
      <w:bookmarkStart w:id="514" w:name="_Toc520356163"/>
      <w:r/>
      <w:bookmarkStart w:id="515" w:name="_Toc226965728"/>
      <w:r/>
      <w:bookmarkStart w:id="516" w:name="_Toc226965811"/>
      <w:r/>
      <w:bookmarkStart w:id="517" w:name="_Toc151193926"/>
      <w:r/>
      <w:bookmarkStart w:id="518" w:name="_Toc150480776"/>
      <w:r/>
      <w:bookmarkStart w:id="519" w:name="_Toc265228376"/>
      <w:r/>
      <w:bookmarkStart w:id="520" w:name="_Toc151193708"/>
      <w:r/>
      <w:bookmarkStart w:id="521" w:name="_Toc142311040"/>
      <w:r/>
      <w:bookmarkStart w:id="522" w:name="_Toc226309782"/>
      <w:r/>
      <w:bookmarkStart w:id="523" w:name="_Toc151193780"/>
      <w:r/>
      <w:bookmarkStart w:id="524" w:name="_Toc264969228"/>
      <w:r/>
      <w:bookmarkStart w:id="525" w:name="_Toc150774638"/>
      <w:r/>
      <w:bookmarkStart w:id="526" w:name="_Toc150774743"/>
      <w:r/>
      <w:bookmarkStart w:id="527" w:name="_Toc151193852"/>
      <w:r/>
      <w:bookmarkStart w:id="528" w:name="_Toc305158880"/>
      <w:r/>
      <w:bookmarkStart w:id="529" w:name="_Toc226337234"/>
      <w:r/>
      <w:bookmarkStart w:id="530" w:name="_Toc151190165"/>
      <w:r/>
      <w:bookmarkStart w:id="531" w:name="_Toc12715153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64229380"/>
      <w:r/>
      <w:bookmarkStart w:id="533" w:name="_Toc142311041"/>
      <w:r/>
      <w:bookmarkStart w:id="534" w:name="_Toc226965812"/>
      <w:r/>
      <w:bookmarkStart w:id="535" w:name="_Toc151190166"/>
      <w:r/>
      <w:bookmarkStart w:id="536" w:name="_Toc226309783"/>
      <w:r/>
      <w:bookmarkStart w:id="537" w:name="_Toc151193927"/>
      <w:r/>
      <w:bookmarkStart w:id="538" w:name="_Toc164351633"/>
      <w:r/>
      <w:bookmarkStart w:id="539" w:name="_Toc127151539"/>
      <w:r/>
      <w:bookmarkStart w:id="540" w:name="_Toc164608653"/>
      <w:r/>
      <w:bookmarkStart w:id="541" w:name="_Toc226337235"/>
      <w:r/>
      <w:bookmarkStart w:id="542" w:name="_Toc164229234"/>
      <w:r/>
      <w:bookmarkStart w:id="543" w:name="_Toc305158881"/>
      <w:r/>
      <w:bookmarkStart w:id="544" w:name="_Toc127161453"/>
      <w:r/>
      <w:bookmarkStart w:id="545" w:name="_Toc149720832"/>
      <w:r/>
      <w:bookmarkStart w:id="546" w:name="_Toc151193853"/>
      <w:r/>
      <w:bookmarkStart w:id="547" w:name="_Toc265228377"/>
      <w:r/>
      <w:bookmarkStart w:id="548" w:name="_Toc195842904"/>
      <w:r/>
      <w:bookmarkStart w:id="549" w:name="_Toc264969229"/>
      <w:r/>
      <w:bookmarkStart w:id="550" w:name="_Toc164608808"/>
      <w:r/>
      <w:bookmarkStart w:id="551" w:name="_Toc151193637"/>
      <w:r/>
      <w:bookmarkStart w:id="552" w:name="_Toc226965729"/>
      <w:r/>
      <w:bookmarkStart w:id="553" w:name="_Toc150774639"/>
      <w:r/>
      <w:bookmarkStart w:id="554" w:name="_Toc305158807"/>
      <w:r/>
      <w:bookmarkStart w:id="555" w:name="_Toc151193781"/>
      <w:r/>
      <w:bookmarkStart w:id="556" w:name="_Toc127151740"/>
      <w:r/>
      <w:bookmarkStart w:id="557" w:name="_Toc150774744"/>
      <w:r/>
      <w:bookmarkStart w:id="558" w:name="_Toc151193709"/>
      <w:r/>
      <w:bookmarkStart w:id="559" w:name="_Toc150480777"/>
      <w:r/>
      <w:bookmarkStart w:id="560" w:name="_Toc150509290"/>
      <w:r/>
      <w:bookmarkStart w:id="561" w:name="_Toc520356164"/>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854"/>
      <w:r/>
      <w:bookmarkStart w:id="564" w:name="_Toc151190167"/>
      <w:r/>
      <w:bookmarkStart w:id="565" w:name="_Toc195842905"/>
      <w:r/>
      <w:bookmarkStart w:id="566" w:name="_Toc127151540"/>
      <w:r/>
      <w:bookmarkStart w:id="567" w:name="_Toc150774745"/>
      <w:r/>
      <w:bookmarkStart w:id="568" w:name="_Toc127161454"/>
      <w:r/>
      <w:bookmarkStart w:id="569" w:name="_Toc164229235"/>
      <w:r/>
      <w:bookmarkStart w:id="570" w:name="_Toc127151741"/>
      <w:r/>
      <w:bookmarkStart w:id="571" w:name="_Toc150480778"/>
      <w:r/>
      <w:bookmarkStart w:id="572" w:name="_Toc150774640"/>
      <w:r/>
      <w:bookmarkStart w:id="573" w:name="_Toc149720833"/>
      <w:r/>
      <w:bookmarkStart w:id="574" w:name="_Toc164608654"/>
      <w:r/>
      <w:bookmarkStart w:id="575" w:name="_Toc151193782"/>
      <w:r/>
      <w:bookmarkStart w:id="576" w:name="_Toc151193638"/>
      <w:r/>
      <w:bookmarkStart w:id="577" w:name="_Toc305158882"/>
      <w:r/>
      <w:bookmarkStart w:id="578" w:name="_Toc142311042"/>
      <w:r/>
      <w:bookmarkStart w:id="579" w:name="_Toc226965813"/>
      <w:r/>
      <w:bookmarkStart w:id="580" w:name="_Toc151193710"/>
      <w:r/>
      <w:bookmarkStart w:id="581" w:name="_Toc305158808"/>
      <w:r/>
      <w:bookmarkStart w:id="582" w:name="_Toc226965730"/>
      <w:r/>
      <w:bookmarkStart w:id="583" w:name="_Toc150509291"/>
      <w:r/>
      <w:bookmarkStart w:id="584" w:name="_Toc164608809"/>
      <w:r/>
      <w:bookmarkStart w:id="585" w:name="_Toc226309784"/>
      <w:r/>
      <w:bookmarkStart w:id="586" w:name="_Toc226337236"/>
      <w:r/>
      <w:bookmarkStart w:id="587" w:name="_Toc151193928"/>
      <w:r/>
      <w:bookmarkStart w:id="588" w:name="_Toc164229381"/>
      <w:r/>
      <w:bookmarkStart w:id="589" w:name="_Toc264969230"/>
      <w:r/>
      <w:bookmarkStart w:id="590" w:name="_Toc265228378"/>
      <w:r/>
      <w:bookmarkStart w:id="591" w:name="_Toc164351634"/>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27151545"/>
      <w:r/>
      <w:bookmarkStart w:id="595" w:name="_Toc226965818"/>
      <w:r/>
      <w:bookmarkStart w:id="596" w:name="_Toc226965735"/>
      <w:r/>
      <w:bookmarkStart w:id="597" w:name="_Toc150509296"/>
      <w:r/>
      <w:bookmarkStart w:id="598" w:name="_Toc151193715"/>
      <w:r/>
      <w:bookmarkStart w:id="599" w:name="_Toc151193787"/>
      <w:r/>
      <w:bookmarkStart w:id="600" w:name="_Toc150774750"/>
      <w:r/>
      <w:bookmarkStart w:id="601" w:name="_Toc226337241"/>
      <w:r/>
      <w:bookmarkStart w:id="602" w:name="_Toc265228383"/>
      <w:r/>
      <w:bookmarkStart w:id="603" w:name="_Toc305158813"/>
      <w:r/>
      <w:bookmarkStart w:id="604" w:name="_Toc150774645"/>
      <w:r/>
      <w:bookmarkStart w:id="605" w:name="_Toc226309789"/>
      <w:r/>
      <w:bookmarkStart w:id="606" w:name="_Toc151193859"/>
      <w:r/>
      <w:bookmarkStart w:id="607" w:name="_Toc151190172"/>
      <w:r/>
      <w:bookmarkStart w:id="608" w:name="_Toc150480783"/>
      <w:r/>
      <w:bookmarkStart w:id="609" w:name="_Toc142311047"/>
      <w:r/>
      <w:bookmarkStart w:id="610" w:name="_Toc305158887"/>
      <w:r/>
      <w:bookmarkStart w:id="611" w:name="_Toc264969235"/>
      <w:r/>
      <w:bookmarkStart w:id="612" w:name="_Toc151193643"/>
      <w:r/>
      <w:bookmarkStart w:id="613" w:name="_Toc195842910"/>
      <w:r/>
      <w:bookmarkStart w:id="614" w:name="_Toc151193933"/>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816"/>
      <w:r/>
      <w:bookmarkStart w:id="616" w:name="_Toc151193717"/>
      <w:r/>
      <w:bookmarkStart w:id="617" w:name="_Toc127151748"/>
      <w:r/>
      <w:bookmarkStart w:id="618" w:name="_Toc151193935"/>
      <w:r/>
      <w:bookmarkStart w:id="619" w:name="_Toc127161461"/>
      <w:r/>
      <w:bookmarkStart w:id="620" w:name="_Toc164608661"/>
      <w:r/>
      <w:bookmarkStart w:id="621" w:name="_Toc150774647"/>
      <w:r/>
      <w:bookmarkStart w:id="622" w:name="_Toc164229388"/>
      <w:r/>
      <w:bookmarkStart w:id="623" w:name="_Toc265228385"/>
      <w:r/>
      <w:bookmarkStart w:id="624" w:name="_Toc226309791"/>
      <w:r/>
      <w:bookmarkStart w:id="625" w:name="_Toc150509298"/>
      <w:r/>
      <w:bookmarkStart w:id="626" w:name="_Toc151193861"/>
      <w:r/>
      <w:bookmarkStart w:id="627" w:name="_Toc149720840"/>
      <w:r/>
      <w:bookmarkStart w:id="628" w:name="_Toc151193645"/>
      <w:r/>
      <w:bookmarkStart w:id="629" w:name="_Toc195842912"/>
      <w:r/>
      <w:bookmarkStart w:id="630" w:name="_Toc150480785"/>
      <w:r/>
      <w:bookmarkStart w:id="631" w:name="_Toc226965820"/>
      <w:r/>
      <w:bookmarkStart w:id="632" w:name="_Toc264969237"/>
      <w:r/>
      <w:bookmarkStart w:id="633" w:name="_Toc150774752"/>
      <w:r/>
      <w:bookmarkStart w:id="634" w:name="_Toc305158889"/>
      <w:r/>
      <w:bookmarkStart w:id="635" w:name="_Toc305158815"/>
      <w:r/>
      <w:bookmarkStart w:id="636" w:name="_Toc226337243"/>
      <w:r/>
      <w:bookmarkStart w:id="637" w:name="_Toc127151547"/>
      <w:r/>
      <w:bookmarkStart w:id="638" w:name="_Toc151193789"/>
      <w:r/>
      <w:bookmarkStart w:id="639" w:name="_Toc164351641"/>
      <w:r/>
      <w:bookmarkStart w:id="640" w:name="_Toc226965737"/>
      <w:r/>
      <w:bookmarkStart w:id="641" w:name="_Toc151190174"/>
      <w:r/>
      <w:bookmarkStart w:id="642" w:name="_Toc142311049"/>
      <w:r/>
      <w:bookmarkStart w:id="643" w:name="_Toc164229242"/>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480787"/>
      <w:r/>
      <w:bookmarkStart w:id="645" w:name="_Toc151190176"/>
      <w:r/>
      <w:bookmarkStart w:id="646" w:name="_Toc151193863"/>
      <w:r/>
      <w:bookmarkStart w:id="647" w:name="_Toc305158891"/>
      <w:r/>
      <w:bookmarkStart w:id="648" w:name="_Toc127161463"/>
      <w:r/>
      <w:bookmarkStart w:id="649" w:name="_Toc226309793"/>
      <w:r/>
      <w:bookmarkStart w:id="650" w:name="_Toc151193937"/>
      <w:r/>
      <w:bookmarkStart w:id="651" w:name="_Toc127151549"/>
      <w:r/>
      <w:bookmarkStart w:id="652" w:name="_Ref467306425"/>
      <w:r/>
      <w:bookmarkStart w:id="653" w:name="_Toc520356176"/>
      <w:r/>
      <w:bookmarkStart w:id="654" w:name="_Ref467307090"/>
      <w:r/>
      <w:bookmarkStart w:id="655" w:name="_Toc195842914"/>
      <w:r/>
      <w:bookmarkStart w:id="656" w:name="_Toc264969239"/>
      <w:r/>
      <w:bookmarkStart w:id="657" w:name="_Toc164351643"/>
      <w:r/>
      <w:bookmarkStart w:id="658" w:name="_Toc127151750"/>
      <w:r/>
      <w:bookmarkStart w:id="659" w:name="_Toc265228387"/>
      <w:r/>
      <w:bookmarkStart w:id="660" w:name="_Toc150774649"/>
      <w:r/>
      <w:bookmarkStart w:id="661" w:name="_Toc305158817"/>
      <w:r/>
      <w:bookmarkStart w:id="662" w:name="_Toc149720842"/>
      <w:r/>
      <w:bookmarkStart w:id="663" w:name="_Toc151193791"/>
      <w:r/>
      <w:bookmarkStart w:id="664" w:name="_Toc151193719"/>
      <w:r/>
      <w:bookmarkStart w:id="665" w:name="_Toc226965739"/>
      <w:r/>
      <w:bookmarkStart w:id="666" w:name="_Toc150509300"/>
      <w:r/>
      <w:bookmarkStart w:id="667" w:name="_Toc151193647"/>
      <w:r/>
      <w:bookmarkStart w:id="668" w:name="_Toc226337245"/>
      <w:r/>
      <w:bookmarkStart w:id="669" w:name="_Toc226965822"/>
      <w:r/>
      <w:bookmarkStart w:id="670" w:name="_Toc164608663"/>
      <w:r/>
      <w:bookmarkStart w:id="671" w:name="_Toc150774754"/>
      <w:r/>
      <w:bookmarkStart w:id="672" w:name="_Toc142311051"/>
      <w:r/>
      <w:bookmarkStart w:id="673" w:name="_Toc164608818"/>
      <w:r/>
      <w:bookmarkStart w:id="674" w:name="_Toc164229390"/>
      <w:r/>
      <w:bookmarkStart w:id="675" w:name="_Toc164229244"/>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608819"/>
      <w:r/>
      <w:bookmarkStart w:id="677" w:name="_Toc142311052"/>
      <w:r/>
      <w:bookmarkStart w:id="678" w:name="_Toc164608664"/>
      <w:r/>
      <w:bookmarkStart w:id="679" w:name="_Toc226965740"/>
      <w:r/>
      <w:bookmarkStart w:id="680" w:name="_Toc151193720"/>
      <w:r/>
      <w:bookmarkStart w:id="681" w:name="_Toc151193648"/>
      <w:r/>
      <w:bookmarkStart w:id="682" w:name="_Toc151190177"/>
      <w:r/>
      <w:bookmarkStart w:id="683" w:name="_Toc265228388"/>
      <w:r/>
      <w:bookmarkStart w:id="684" w:name="_Toc164229391"/>
      <w:r/>
      <w:bookmarkStart w:id="685" w:name="_Ref467306377"/>
      <w:r/>
      <w:bookmarkStart w:id="686" w:name="_Toc520356175"/>
      <w:r/>
      <w:bookmarkStart w:id="687" w:name="_Toc305158818"/>
      <w:r/>
      <w:bookmarkStart w:id="688" w:name="_Toc127151550"/>
      <w:r/>
      <w:bookmarkStart w:id="689" w:name="_Toc150774755"/>
      <w:r/>
      <w:bookmarkStart w:id="690" w:name="_Toc150774650"/>
      <w:r/>
      <w:bookmarkStart w:id="691" w:name="_Toc226337246"/>
      <w:r/>
      <w:bookmarkStart w:id="692" w:name="_Toc264969240"/>
      <w:r/>
      <w:bookmarkStart w:id="693" w:name="_Toc127161464"/>
      <w:r/>
      <w:bookmarkStart w:id="694" w:name="_Toc164229245"/>
      <w:r/>
      <w:bookmarkStart w:id="695" w:name="_Toc127151751"/>
      <w:r/>
      <w:bookmarkStart w:id="696" w:name="_Toc151193938"/>
      <w:r/>
      <w:bookmarkStart w:id="697" w:name="_Toc226309794"/>
      <w:r/>
      <w:bookmarkStart w:id="698" w:name="_Toc150480788"/>
      <w:r/>
      <w:bookmarkStart w:id="699" w:name="_Toc164351644"/>
      <w:r/>
      <w:bookmarkStart w:id="700" w:name="_Toc149720843"/>
      <w:r/>
      <w:bookmarkStart w:id="701" w:name="_Toc226965823"/>
      <w:r/>
      <w:bookmarkStart w:id="702" w:name="_Ref467307204"/>
      <w:r/>
      <w:bookmarkStart w:id="703" w:name="_Toc195842915"/>
      <w:r/>
      <w:bookmarkStart w:id="704" w:name="_Toc151193864"/>
      <w:r/>
      <w:bookmarkStart w:id="705" w:name="_Toc305158892"/>
      <w:r/>
      <w:bookmarkStart w:id="706" w:name="_Ref467307062"/>
      <w:r/>
      <w:bookmarkStart w:id="707" w:name="_Ref467306978"/>
      <w:r/>
      <w:bookmarkStart w:id="708" w:name="_Toc151193792"/>
      <w:r/>
      <w:bookmarkStart w:id="709" w:name="_Toc15050930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6"/>
          <w:rFonts w:hint="eastAsia" w:ascii="宋体" w:hAnsi="宋体" w:cs="宋体"/>
          <w:color w:val="000000"/>
        </w:rPr>
        <w:t xml:space="preserve">http://gk</w:t>
      </w:r>
      <w:bookmarkStart w:id="710" w:name="_Hlt100654014"/>
      <w:r>
        <w:rPr>
          <w:rStyle w:val="1146"/>
          <w:rFonts w:hint="eastAsia" w:ascii="宋体" w:hAnsi="宋体" w:cs="宋体"/>
          <w:color w:val="000000"/>
        </w:rPr>
        <w:t xml:space="preserve">s</w:t>
      </w:r>
      <w:bookmarkEnd w:id="710"/>
      <w:r>
        <w:rPr>
          <w:rStyle w:val="1146"/>
          <w:rFonts w:hint="eastAsia" w:ascii="宋体" w:hAnsi="宋体" w:cs="宋体"/>
          <w:color w:val="000000"/>
        </w:rPr>
        <w:t xml:space="preserve">.m</w:t>
      </w:r>
      <w:bookmarkStart w:id="711" w:name="_Hlt100653993"/>
      <w:r/>
      <w:bookmarkStart w:id="712" w:name="_Hlt100653994"/>
      <w:r>
        <w:rPr>
          <w:rStyle w:val="1146"/>
          <w:rFonts w:hint="eastAsia" w:ascii="宋体" w:hAnsi="宋体" w:cs="宋体"/>
          <w:color w:val="000000"/>
        </w:rPr>
        <w:t xml:space="preserve">o</w:t>
      </w:r>
      <w:bookmarkEnd w:id="711"/>
      <w:r/>
      <w:bookmarkEnd w:id="712"/>
      <w:r>
        <w:rPr>
          <w:rStyle w:val="114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353873664"/>
      <w:r/>
      <w:bookmarkStart w:id="714" w:name="_Toc305158896"/>
      <w:r/>
      <w:bookmarkStart w:id="715" w:name="_Toc142311056"/>
      <w:r/>
      <w:bookmarkStart w:id="716" w:name="_Toc353825544"/>
      <w:r/>
      <w:bookmarkStart w:id="717" w:name="_Toc127151554"/>
      <w:r/>
      <w:bookmarkStart w:id="718" w:name="_Toc150480792"/>
      <w:r/>
      <w:bookmarkStart w:id="719" w:name="_Toc226337250"/>
      <w:r/>
      <w:bookmarkStart w:id="720" w:name="_Toc305158822"/>
      <w:r/>
      <w:bookmarkStart w:id="721" w:name="_Toc353873934"/>
      <w:r/>
      <w:bookmarkStart w:id="722" w:name="_Toc226965827"/>
      <w:r/>
      <w:bookmarkStart w:id="723" w:name="_Toc150774759"/>
      <w:r/>
      <w:bookmarkStart w:id="724" w:name="_Toc265228392"/>
      <w:r/>
      <w:bookmarkStart w:id="725" w:name="_Toc26496924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353825550"/>
            <w:r/>
            <w:bookmarkStart w:id="731" w:name="_Toc353873940"/>
            <w:r/>
            <w:bookmarkStart w:id="732" w:name="_Toc226965858"/>
            <w:r/>
            <w:bookmarkStart w:id="733" w:name="_Toc127151779"/>
            <w:r/>
            <w:bookmarkStart w:id="734" w:name="_Toc127161490"/>
            <w:r>
              <w:rPr>
                <w:rFonts w:hint="eastAsia" w:ascii="宋体" w:hAnsi="宋体" w:cs="宋体"/>
                <w:b/>
                <w:sz w:val="24"/>
              </w:rPr>
              <w:t xml:space="preserve">序号</w:t>
            </w:r>
            <w:r/>
          </w:p>
        </w:tc>
        <w:tc>
          <w:tcPr>
            <w:tcW w:w="1067"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226965731"/>
      <w:r/>
      <w:bookmarkStart w:id="738" w:name="_Toc226309785"/>
      <w:r/>
      <w:bookmarkStart w:id="739" w:name="_Toc164608810"/>
      <w:r/>
      <w:bookmarkStart w:id="740" w:name="_Toc305158809"/>
      <w:r/>
      <w:bookmarkStart w:id="741" w:name="_Toc151193855"/>
      <w:r/>
      <w:bookmarkStart w:id="742" w:name="_Toc264969231"/>
      <w:r/>
      <w:bookmarkStart w:id="743" w:name="_Toc142311043"/>
      <w:r/>
      <w:bookmarkStart w:id="744" w:name="_Toc150774641"/>
      <w:r/>
      <w:bookmarkStart w:id="745" w:name="_Toc150480779"/>
      <w:r/>
      <w:bookmarkStart w:id="746" w:name="_Toc305158883"/>
      <w:r/>
      <w:bookmarkStart w:id="747" w:name="_Toc127161455"/>
      <w:r/>
      <w:bookmarkStart w:id="748" w:name="_Toc149720834"/>
      <w:r/>
      <w:bookmarkStart w:id="749" w:name="_Toc195842906"/>
      <w:r/>
      <w:bookmarkStart w:id="750" w:name="_Toc150774746"/>
      <w:r/>
      <w:bookmarkStart w:id="751" w:name="_Toc127151742"/>
      <w:r/>
      <w:bookmarkStart w:id="752" w:name="_Toc226337237"/>
      <w:r/>
      <w:bookmarkStart w:id="753" w:name="_Toc164608655"/>
      <w:r/>
      <w:bookmarkStart w:id="754" w:name="_Toc151190168"/>
      <w:r/>
      <w:bookmarkStart w:id="755" w:name="_Toc226965814"/>
      <w:r/>
      <w:bookmarkStart w:id="756" w:name="_Toc164229236"/>
      <w:r/>
      <w:bookmarkStart w:id="757" w:name="_Toc151193929"/>
      <w:r/>
      <w:bookmarkStart w:id="758" w:name="_Toc151193711"/>
      <w:r/>
      <w:bookmarkStart w:id="759" w:name="_Toc151193783"/>
      <w:r/>
      <w:bookmarkStart w:id="760" w:name="_Toc127151541"/>
      <w:r/>
      <w:bookmarkStart w:id="761" w:name="_Toc265228379"/>
      <w:r/>
      <w:bookmarkStart w:id="762" w:name="_Toc151193639"/>
      <w:r/>
      <w:bookmarkStart w:id="763" w:name="_Toc164351635"/>
      <w:r/>
      <w:bookmarkStart w:id="764" w:name="_Toc164229382"/>
      <w:r/>
      <w:bookmarkStart w:id="765" w:name="_Toc150509292"/>
      <w:r/>
      <w:bookmarkStart w:id="766" w:name="_Toc353825551"/>
      <w:r/>
      <w:bookmarkStart w:id="767" w:name="_Toc353873941"/>
      <w:r/>
      <w:bookmarkStart w:id="768" w:name="_Toc150774760"/>
      <w:r/>
      <w:bookmarkStart w:id="769" w:name="_Toc353825545"/>
      <w:r/>
      <w:bookmarkStart w:id="770" w:name="_Toc265228393"/>
      <w:r/>
      <w:bookmarkStart w:id="771" w:name="_Toc195842920"/>
      <w:r/>
      <w:bookmarkStart w:id="772" w:name="_Toc142311057"/>
      <w:r/>
      <w:bookmarkStart w:id="773" w:name="_Toc127151555"/>
      <w:r/>
      <w:bookmarkStart w:id="774" w:name="_Toc226965828"/>
      <w:r/>
      <w:bookmarkStart w:id="775" w:name="_Toc353873665"/>
      <w:r/>
      <w:bookmarkStart w:id="776" w:name="_Toc305158823"/>
      <w:r/>
      <w:bookmarkStart w:id="777" w:name="_Toc264969245"/>
      <w:r/>
      <w:bookmarkStart w:id="778" w:name="_Toc226337251"/>
      <w:r/>
      <w:bookmarkStart w:id="779" w:name="_Toc305158897"/>
      <w:r/>
      <w:bookmarkStart w:id="780" w:name="_Toc150480793"/>
      <w:r/>
      <w:bookmarkStart w:id="781" w:name="_Toc35387393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1070"/>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1070"/>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0"/>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outlineLvl w:val="1"/>
      </w:pPr>
      <w:r>
        <w:rPr>
          <w:rFonts w:hint="eastAsia" w:ascii="宋体" w:hAnsi="宋体" w:cs="宋体"/>
          <w:b/>
          <w:sz w:val="24"/>
        </w:rPr>
        <w:t xml:space="preserve">确定</w:t>
      </w:r>
      <w:bookmarkStart w:id="783" w:name="_Toc142311048"/>
      <w:r/>
      <w:bookmarkStart w:id="784" w:name="_Toc151190173"/>
      <w:r/>
      <w:bookmarkStart w:id="785" w:name="_Toc164608660"/>
      <w:r/>
      <w:bookmarkStart w:id="786" w:name="_Toc226965736"/>
      <w:r/>
      <w:bookmarkStart w:id="787" w:name="_Toc150509297"/>
      <w:r/>
      <w:bookmarkStart w:id="788" w:name="_Toc150774751"/>
      <w:r/>
      <w:bookmarkStart w:id="789" w:name="_Toc305158888"/>
      <w:r/>
      <w:bookmarkStart w:id="790" w:name="_Toc305158814"/>
      <w:r/>
      <w:bookmarkStart w:id="791" w:name="_Toc151193644"/>
      <w:r/>
      <w:bookmarkStart w:id="792" w:name="_Toc151193934"/>
      <w:r/>
      <w:bookmarkStart w:id="793" w:name="_Toc164229387"/>
      <w:r/>
      <w:bookmarkStart w:id="794" w:name="_Toc164351640"/>
      <w:r/>
      <w:bookmarkStart w:id="795" w:name="_Toc164608815"/>
      <w:r/>
      <w:bookmarkStart w:id="796" w:name="_Toc195842911"/>
      <w:r/>
      <w:bookmarkStart w:id="797" w:name="_Toc226965819"/>
      <w:r/>
      <w:bookmarkStart w:id="798" w:name="_Toc127161460"/>
      <w:r/>
      <w:bookmarkStart w:id="799" w:name="_Toc264969236"/>
      <w:r/>
      <w:bookmarkStart w:id="800" w:name="_Toc265228384"/>
      <w:r/>
      <w:bookmarkStart w:id="801" w:name="_Ref467307010"/>
      <w:r/>
      <w:bookmarkStart w:id="802" w:name="_Toc226309790"/>
      <w:r/>
      <w:bookmarkStart w:id="803" w:name="_Toc127151546"/>
      <w:r/>
      <w:bookmarkStart w:id="804" w:name="_Toc150480784"/>
      <w:r/>
      <w:bookmarkStart w:id="805" w:name="_Toc149720839"/>
      <w:r/>
      <w:bookmarkStart w:id="806" w:name="_Toc164229241"/>
      <w:r/>
      <w:bookmarkStart w:id="807" w:name="_Toc151193716"/>
      <w:r/>
      <w:bookmarkStart w:id="808" w:name="_Toc226337242"/>
      <w:r/>
      <w:bookmarkStart w:id="809" w:name="_Toc127151747"/>
      <w:r/>
      <w:bookmarkStart w:id="810" w:name="_Toc151193860"/>
      <w:r/>
      <w:bookmarkStart w:id="811" w:name="_Toc150774646"/>
      <w:r/>
      <w:bookmarkStart w:id="812" w:name="_Toc151193788"/>
      <w:r/>
      <w:bookmarkStart w:id="813" w:name="_Toc52035617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37"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578"/>
        <w:gridCol w:w="863"/>
        <w:gridCol w:w="6058"/>
      </w:tblGrid>
      <w:tr>
        <w:trPr>
          <w:trHeight w:val="170"/>
        </w:trPr>
        <w:tc>
          <w:tcPr>
            <w:tcW w:w="459" w:type="pct"/>
            <w:vAlign w:val="center"/>
            <w:textDirection w:val="lrTb"/>
            <w:noWrap w:val="false"/>
          </w:tcPr>
          <w:p>
            <w:pPr>
              <w:pStyle w:val="1070"/>
              <w:ind w:firstLine="28"/>
              <w:jc w:val="center"/>
              <w:spacing w:line="360" w:lineRule="exact"/>
              <w:rPr>
                <w:rFonts w:ascii="宋体" w:hAnsi="宋体"/>
                <w:b/>
                <w:sz w:val="24"/>
              </w:rPr>
            </w:pPr>
            <w:r>
              <w:rPr>
                <w:rFonts w:ascii="宋体" w:hAnsi="宋体"/>
                <w:b/>
                <w:sz w:val="24"/>
              </w:rPr>
              <w:t xml:space="preserve">序号</w:t>
            </w:r>
            <w:r/>
          </w:p>
        </w:tc>
        <w:tc>
          <w:tcPr>
            <w:tcW w:w="843" w:type="pct"/>
            <w:vAlign w:val="center"/>
            <w:textDirection w:val="lrTb"/>
            <w:noWrap w:val="false"/>
          </w:tcPr>
          <w:p>
            <w:pPr>
              <w:pStyle w:val="1070"/>
              <w:ind w:firstLine="28"/>
              <w:jc w:val="center"/>
              <w:spacing w:line="360" w:lineRule="exact"/>
              <w:rPr>
                <w:rFonts w:ascii="宋体" w:hAnsi="宋体"/>
                <w:b/>
                <w:sz w:val="24"/>
              </w:rPr>
            </w:pPr>
            <w:r>
              <w:rPr>
                <w:rFonts w:ascii="宋体" w:hAnsi="宋体"/>
                <w:b/>
                <w:sz w:val="24"/>
              </w:rPr>
              <w:t xml:space="preserve">评分因素</w:t>
            </w:r>
            <w:r/>
          </w:p>
        </w:tc>
        <w:tc>
          <w:tcPr>
            <w:tcW w:w="461" w:type="pct"/>
            <w:vAlign w:val="center"/>
            <w:textDirection w:val="lrTb"/>
            <w:noWrap w:val="false"/>
          </w:tcPr>
          <w:p>
            <w:pPr>
              <w:pStyle w:val="1070"/>
              <w:ind w:firstLine="28"/>
              <w:jc w:val="center"/>
              <w:spacing w:line="360" w:lineRule="exact"/>
              <w:rPr>
                <w:rFonts w:ascii="宋体" w:hAnsi="宋体"/>
                <w:b/>
                <w:sz w:val="24"/>
              </w:rPr>
            </w:pPr>
            <w:r>
              <w:rPr>
                <w:rFonts w:ascii="宋体" w:hAnsi="宋体"/>
                <w:b/>
                <w:sz w:val="24"/>
              </w:rPr>
              <w:t xml:space="preserve">分值</w:t>
            </w:r>
            <w:r/>
          </w:p>
        </w:tc>
        <w:tc>
          <w:tcPr>
            <w:tcW w:w="3236" w:type="pct"/>
            <w:vAlign w:val="center"/>
            <w:textDirection w:val="lrTb"/>
            <w:noWrap w:val="false"/>
          </w:tcPr>
          <w:p>
            <w:pPr>
              <w:pStyle w:val="1070"/>
              <w:ind w:firstLine="28"/>
              <w:jc w:val="center"/>
              <w:spacing w:line="360" w:lineRule="exact"/>
              <w:rPr>
                <w:rFonts w:ascii="宋体" w:hAnsi="宋体"/>
                <w:b/>
                <w:sz w:val="24"/>
              </w:rPr>
            </w:pPr>
            <w:r>
              <w:rPr>
                <w:rFonts w:ascii="宋体" w:hAnsi="宋体"/>
                <w:b/>
                <w:sz w:val="24"/>
              </w:rPr>
              <w:t xml:space="preserve">评分标准</w:t>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1</w:t>
            </w:r>
            <w:r>
              <w:rPr>
                <w:rFonts w:ascii="宋体" w:hAnsi="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价格分</w:t>
            </w:r>
            <w:r>
              <w:rPr>
                <w:rFonts w:ascii="宋体" w:hAnsi="宋体"/>
                <w:sz w:val="24"/>
              </w:rPr>
            </w:r>
            <w:r/>
          </w:p>
        </w:tc>
        <w:tc>
          <w:tcPr>
            <w:tcW w:w="461" w:type="pct"/>
            <w:vAlign w:val="center"/>
            <w:textDirection w:val="lrTb"/>
            <w:noWrap w:val="false"/>
          </w:tcPr>
          <w:p>
            <w:pPr>
              <w:pStyle w:val="1070"/>
              <w:ind w:firstLine="28"/>
              <w:jc w:val="center"/>
              <w:spacing w:line="360" w:lineRule="exact"/>
              <w:rPr>
                <w:rFonts w:ascii="宋体" w:hAnsi="宋体"/>
                <w:sz w:val="24"/>
              </w:rPr>
            </w:pPr>
            <w:r>
              <w:rPr>
                <w:rFonts w:ascii="宋体" w:hAnsi="宋体"/>
                <w:sz w:val="24"/>
              </w:rPr>
              <w:t xml:space="preserve">50</w:t>
            </w:r>
            <w:r/>
          </w:p>
        </w:tc>
        <w:tc>
          <w:tcPr>
            <w:tcW w:w="3236" w:type="pct"/>
            <w:vAlign w:val="center"/>
            <w:textDirection w:val="lrTb"/>
            <w:noWrap w:val="false"/>
          </w:tcPr>
          <w:p>
            <w:pPr>
              <w:pStyle w:val="1070"/>
              <w:spacing w:line="360" w:lineRule="exact"/>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070"/>
              <w:spacing w:line="360" w:lineRule="exact"/>
              <w:rPr>
                <w:rFonts w:ascii="宋体" w:hAnsi="宋体"/>
                <w:sz w:val="24"/>
              </w:rPr>
            </w:pPr>
            <w:r>
              <w:rPr>
                <w:rFonts w:ascii="宋体" w:hAnsi="宋体"/>
                <w:sz w:val="24"/>
              </w:rPr>
              <w:t xml:space="preserve">投标报价得分＝（评标基准价/投标报价）×分值。</w:t>
            </w:r>
            <w:r/>
          </w:p>
          <w:p>
            <w:pPr>
              <w:pStyle w:val="1070"/>
              <w:spacing w:line="360" w:lineRule="exact"/>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三</w:t>
            </w:r>
            <w:r>
              <w:rPr>
                <w:rFonts w:ascii="宋体" w:hAnsi="宋体"/>
                <w:b/>
                <w:sz w:val="24"/>
              </w:rPr>
              <w:t xml:space="preserve">章《评标方法和评标标准》。</w:t>
            </w:r>
            <w:r>
              <w:rPr>
                <w:rFonts w:hint="eastAsia" w:ascii="宋体" w:hAnsi="宋体"/>
                <w:b/>
                <w:sz w:val="24"/>
              </w:rPr>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主观分</w:t>
            </w:r>
            <w:r>
              <w:rPr>
                <w:rFonts w:ascii="宋体" w:hAnsi="宋体"/>
                <w:sz w:val="24"/>
              </w:rPr>
            </w:r>
            <w:r/>
          </w:p>
        </w:tc>
        <w:tc>
          <w:tcPr>
            <w:tcW w:w="461" w:type="pct"/>
            <w:vAlign w:val="center"/>
            <w:textDirection w:val="lrTb"/>
            <w:noWrap w:val="false"/>
          </w:tcPr>
          <w:p>
            <w:pPr>
              <w:pStyle w:val="1070"/>
              <w:ind w:firstLine="28"/>
              <w:jc w:val="center"/>
              <w:spacing w:line="360" w:lineRule="exact"/>
              <w:rPr>
                <w:rFonts w:ascii="宋体" w:hAnsi="宋体"/>
                <w:sz w:val="24"/>
              </w:rPr>
            </w:pPr>
            <w:r>
              <w:rPr>
                <w:rFonts w:ascii="宋体" w:hAnsi="宋体"/>
                <w:sz w:val="24"/>
              </w:rPr>
            </w:r>
            <w:r/>
          </w:p>
        </w:tc>
        <w:tc>
          <w:tcPr>
            <w:tcW w:w="3236" w:type="pct"/>
            <w:vAlign w:val="center"/>
            <w:textDirection w:val="lrTb"/>
            <w:noWrap w:val="false"/>
          </w:tcPr>
          <w:p>
            <w:pPr>
              <w:pStyle w:val="1070"/>
              <w:spacing w:line="360" w:lineRule="exact"/>
              <w:rPr>
                <w:rFonts w:ascii="宋体" w:hAnsi="宋体"/>
                <w:sz w:val="24"/>
              </w:rPr>
            </w:pP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2.1</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项目总体认识</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根据提供的项目总体认识（包括：针对本项目的维修保养规章制度与操作规范、维修保养范围和维修保养计划等）进行综合评审。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（1）对项目总体认识全面深刻，对设备维修保养工作把握准确，有较强的系统性、经济性和完全响应性的，得4分；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（2）对项目总体认识全面，对设备维修保养工作规范、完全响应采购人要求的，得2.5分；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（3）对项目总体认识一般，对设备维修保养工作基本合理、基本响应采购人要求的，得1分；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2.2</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日常维护方案</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根据提供的日常维护方案进行综合评审。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（1）内容完整，针对性强，能完全满足项目实施要求的，得4分；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（2）内容较具体，针对性较强，能基本满足项目实施要求的，得2.5分；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（3）内容较简单，针对性不强，对项目实施要求响应一般的，得1分；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2.3</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维修保养程序</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根据提供的维修保养程序（包括：维修保养程序、现场支援服务、维修设备工具、故障报告及故障预防措施、资料档案管理、维修保养服务监督管理机制等）进行综合评审。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（1）程序清晰规范高效、支援服务力量强、维修设备工具储备多更换及时、预防措施具有合理化建议、管理机制规范合理清晰责任明确的，得4分；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（2）程序规范合理、有规范的支援服务、维修设备工具具有一定的储备、预防措施较合理、管理机制规范合理的，得2.5分；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（3）程序规范、有支援服务、维修设备工具基本满足需求、预防措施和管理机制较合理简单的，得1分；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2.4</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培训方案</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根据提供的本项目维保期间需进行基本问题解决操作方法培训提供的培训方案进行综合评审。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（1）方案完整，针对性强，能完全满足项目实施要求的，得4分；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（2）方案较具体，针对性较强，能基本满足项目实施要求的，得2.5分；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（3）方案较简单，针对性不强，对项目实施要求响应一般的，得1分；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2.5</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应急预案</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根据提供的应急预案进行综合评审。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（1）应急预案服务高效、具有针对性强的措施和合理化建议的，得4分；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（2）应急预案服务基本满足采购要求、具有合理化建议的，得2.5分；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（3）应急预案服务满足采购需求但较简单的，得1分；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2.6</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质量管控方案</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根据提供的质量管控方案进行综合评审。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（1）方案完整，针对性强，能完全满足项目实施要求的，得4分；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（2）方案较具体，针对性较强，能基本满足项目实施要求的，得2.5分；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（3）方案较简单，针对性不强，对项目实施要求响应一般的，得1分；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2.7</w:t>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人员配置</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根据本项目拟投入团队人员人员配置、从业经验、获得荣誉等综合实力方面进行综合评审。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（1）团队技术实力强大，相关项目经验丰富，获得荣誉多，综合实力强的，得4分；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（2）团队技术实力较强，经验较为丰富，获得荣誉较多，综合实力较强的，得2.5分；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（3）团队技术实力一般，经验一般，综合实力一般，获得荣誉较少，得1分；</w:t>
            </w:r>
            <w:r>
              <w:rPr>
                <w:rFonts w:ascii="宋体" w:hAnsi="宋体"/>
                <w:sz w:val="24"/>
              </w:rPr>
            </w:r>
            <w:r/>
          </w:p>
          <w:p>
            <w:pPr>
              <w:pStyle w:val="1070"/>
              <w:jc w:val="left"/>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.8</w:t>
            </w:r>
            <w:r>
              <w:rPr>
                <w:rFonts w:hint="eastAsia" w:ascii="宋体" w:hAnsi="宋体" w:cs="宋体"/>
                <w:sz w:val="24"/>
              </w:rPr>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数字化服务方案</w:t>
            </w:r>
            <w:r/>
          </w:p>
        </w:tc>
        <w:tc>
          <w:tcPr>
            <w:tcW w:w="461"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4</w:t>
            </w:r>
            <w:r/>
          </w:p>
        </w:tc>
        <w:tc>
          <w:tcPr>
            <w:tcW w:w="3236" w:type="pct"/>
            <w:vAlign w:val="center"/>
            <w:textDirection w:val="lrTb"/>
            <w:noWrap w:val="false"/>
          </w:tcPr>
          <w:p>
            <w:pPr>
              <w:pStyle w:val="1070"/>
              <w:spacing w:line="360" w:lineRule="exact"/>
              <w:rPr>
                <w:rFonts w:ascii="宋体" w:hAnsi="宋体"/>
                <w:sz w:val="24"/>
              </w:rPr>
            </w:pPr>
            <w:r>
              <w:rPr>
                <w:rFonts w:hint="eastAsia" w:ascii="宋体" w:hAnsi="宋体"/>
                <w:sz w:val="24"/>
              </w:rPr>
              <w:t xml:space="preserve">根据提供的数字化服务方案进行综合评审。</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（1）方案完整，针对性强，能完全满足项目实施要求的，得4分；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（2）方案较具体，针对性较强，能基本满足项目实施要求的，得2.5分；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（3）方案较简单，针对性不强，对项目实施要求响应一般的，得1分；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（4）未提供不得分。</w:t>
            </w: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3</w:t>
            </w:r>
            <w:r>
              <w:rPr>
                <w:rFonts w:ascii="宋体" w:hAnsi="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客观分</w:t>
            </w:r>
            <w:r>
              <w:rPr>
                <w:rFonts w:ascii="宋体" w:hAnsi="宋体"/>
                <w:sz w:val="24"/>
              </w:rPr>
            </w:r>
            <w:r/>
          </w:p>
        </w:tc>
        <w:tc>
          <w:tcPr>
            <w:tcW w:w="461" w:type="pct"/>
            <w:vAlign w:val="center"/>
            <w:textDirection w:val="lrTb"/>
            <w:noWrap w:val="false"/>
          </w:tcPr>
          <w:p>
            <w:pPr>
              <w:pStyle w:val="1070"/>
              <w:ind w:firstLine="28"/>
              <w:jc w:val="center"/>
              <w:spacing w:line="360" w:lineRule="exact"/>
              <w:rPr>
                <w:rFonts w:ascii="宋体" w:hAnsi="宋体"/>
                <w:sz w:val="24"/>
              </w:rPr>
            </w:pPr>
            <w:r>
              <w:rPr>
                <w:rFonts w:ascii="宋体" w:hAnsi="宋体"/>
                <w:sz w:val="24"/>
              </w:rPr>
            </w:r>
            <w:r/>
          </w:p>
        </w:tc>
        <w:tc>
          <w:tcPr>
            <w:tcW w:w="3236" w:type="pct"/>
            <w:vAlign w:val="center"/>
            <w:textDirection w:val="lrTb"/>
            <w:noWrap w:val="false"/>
          </w:tcPr>
          <w:p>
            <w:pPr>
              <w:pStyle w:val="1070"/>
              <w:spacing w:line="360" w:lineRule="exact"/>
              <w:rPr>
                <w:rFonts w:ascii="宋体" w:hAnsi="宋体"/>
                <w:sz w:val="24"/>
              </w:rPr>
            </w:pPr>
            <w:r>
              <w:rPr>
                <w:rFonts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cs="宋体"/>
                <w:sz w:val="24"/>
              </w:rPr>
            </w:pPr>
            <w:r>
              <w:rPr>
                <w:rFonts w:hint="eastAsia" w:ascii="宋体" w:hAnsi="宋体" w:cs="宋体"/>
                <w:sz w:val="24"/>
              </w:rPr>
              <w:t xml:space="preserve">3.1</w:t>
            </w:r>
            <w:r>
              <w:rPr>
                <w:rFonts w:ascii="宋体" w:hAnsi="宋体" w:cs="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业绩</w:t>
            </w:r>
            <w:r>
              <w:rPr>
                <w:rFonts w:ascii="宋体" w:hAnsi="宋体"/>
                <w:sz w:val="24"/>
              </w:rPr>
            </w:r>
            <w:r/>
          </w:p>
        </w:tc>
        <w:tc>
          <w:tcPr>
            <w:tcW w:w="461" w:type="pct"/>
            <w:vAlign w:val="center"/>
            <w:textDirection w:val="lrTb"/>
            <w:noWrap w:val="false"/>
          </w:tcPr>
          <w:p>
            <w:pPr>
              <w:pStyle w:val="1070"/>
              <w:jc w:val="center"/>
              <w:spacing w:line="360" w:lineRule="exact"/>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3236" w:type="pct"/>
            <w:vAlign w:val="top"/>
            <w:textDirection w:val="lrTb"/>
            <w:noWrap w:val="false"/>
          </w:tcPr>
          <w:p>
            <w:pPr>
              <w:pStyle w:val="1070"/>
              <w:spacing w:line="360" w:lineRule="exact"/>
              <w:rPr>
                <w:rFonts w:ascii="宋体" w:hAnsi="宋体"/>
                <w:sz w:val="24"/>
              </w:rPr>
            </w:pPr>
            <w:r>
              <w:rPr>
                <w:rFonts w:hint="eastAsia" w:ascii="宋体" w:hAnsi="宋体"/>
                <w:sz w:val="24"/>
              </w:rPr>
              <w:t xml:space="preserve">投标人自2022年10月1日以来（以合同签订时间为准）具有相关医疗设备维保项目业绩的，有一个得1分，最高得3分。</w:t>
            </w:r>
            <w:r>
              <w:rPr>
                <w:rFonts w:ascii="宋体" w:hAnsi="宋体"/>
                <w:sz w:val="24"/>
              </w:rPr>
            </w:r>
            <w:r/>
          </w:p>
          <w:p>
            <w:pPr>
              <w:pStyle w:val="1070"/>
              <w:jc w:val="left"/>
              <w:spacing w:line="300" w:lineRule="exact"/>
              <w:widowControl/>
              <w:rPr>
                <w:rFonts w:hint="eastAsia" w:ascii="宋体" w:hAnsi="宋体"/>
                <w:b/>
                <w:sz w:val="24"/>
              </w:rPr>
            </w:pPr>
            <w:r>
              <w:rPr>
                <w:rFonts w:hint="eastAsia" w:ascii="宋体" w:hAnsi="宋体"/>
                <w:b/>
                <w:sz w:val="24"/>
              </w:rPr>
              <w:t xml:space="preserve">注：</w:t>
            </w:r>
            <w:r>
              <w:rPr>
                <w:rFonts w:hint="eastAsia" w:ascii="宋体" w:hAnsi="宋体" w:cs="宋体"/>
                <w:b/>
                <w:sz w:val="24"/>
              </w:rPr>
              <w:t xml:space="preserve">提供合同扫描件；同一业主单位同一项目不同年度的业绩不重复计分；以合同签订时间为准。</w:t>
            </w:r>
            <w:r>
              <w:rPr>
                <w:rFonts w:hint="eastAsia" w:ascii="宋体" w:hAnsi="宋体"/>
                <w:b/>
                <w:sz w:val="24"/>
              </w:rPr>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cs="宋体"/>
                <w:sz w:val="24"/>
              </w:rPr>
            </w:pPr>
            <w:r>
              <w:rPr>
                <w:rFonts w:hint="eastAsia" w:ascii="宋体" w:hAnsi="宋体" w:cs="宋体"/>
                <w:sz w:val="24"/>
              </w:rPr>
              <w:t xml:space="preserve">3.2</w:t>
            </w:r>
            <w:r>
              <w:rPr>
                <w:rFonts w:ascii="宋体" w:hAnsi="宋体" w:cs="宋体"/>
                <w:sz w:val="24"/>
              </w:rPr>
            </w:r>
            <w:r/>
          </w:p>
        </w:tc>
        <w:tc>
          <w:tcPr>
            <w:tcW w:w="843" w:type="pct"/>
            <w:vAlign w:val="center"/>
            <w:textDirection w:val="lrTb"/>
            <w:noWrap w:val="false"/>
          </w:tcPr>
          <w:p>
            <w:pPr>
              <w:pStyle w:val="1070"/>
              <w:ind w:firstLine="28"/>
              <w:jc w:val="center"/>
              <w:spacing w:line="360" w:lineRule="exact"/>
              <w:rPr>
                <w:rFonts w:hint="eastAsia" w:ascii="宋体" w:hAnsi="宋体"/>
                <w:sz w:val="24"/>
              </w:rPr>
            </w:pPr>
            <w:r>
              <w:rPr>
                <w:rFonts w:hint="eastAsia" w:ascii="宋体" w:hAnsi="宋体"/>
                <w:sz w:val="24"/>
              </w:rPr>
              <w:t xml:space="preserve">认证证书</w:t>
            </w:r>
            <w:r/>
          </w:p>
        </w:tc>
        <w:tc>
          <w:tcPr>
            <w:tcW w:w="461" w:type="pct"/>
            <w:vAlign w:val="center"/>
            <w:textDirection w:val="lrTb"/>
            <w:noWrap w:val="false"/>
          </w:tcPr>
          <w:p>
            <w:pPr>
              <w:pStyle w:val="1070"/>
              <w:jc w:val="center"/>
              <w:spacing w:line="360" w:lineRule="exact"/>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tcW w:w="3236" w:type="pct"/>
            <w:vAlign w:val="top"/>
            <w:textDirection w:val="lrTb"/>
            <w:noWrap w:val="false"/>
          </w:tcPr>
          <w:p>
            <w:pPr>
              <w:pStyle w:val="1070"/>
              <w:spacing w:line="360" w:lineRule="exact"/>
              <w:rPr>
                <w:rFonts w:ascii="宋体" w:hAnsi="宋体"/>
                <w:sz w:val="24"/>
              </w:rPr>
            </w:pPr>
            <w:r>
              <w:rPr>
                <w:rFonts w:hint="eastAsia" w:ascii="宋体" w:hAnsi="宋体"/>
                <w:sz w:val="24"/>
              </w:rPr>
              <w:t xml:space="preserve">1.投标人具有有效的环境管理体系认证证书的，得1分。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2.投标人具有有效的职业健康安全管理体系认证证书的，得1分。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3.投标人具有有效的质量管理体系认证证书的，得1分。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4.投标人具有有效的医疗器械质量管理体系认证证书的，得1分。</w:t>
            </w:r>
            <w:r>
              <w:rPr>
                <w:rFonts w:ascii="宋体" w:hAnsi="宋体"/>
                <w:sz w:val="24"/>
              </w:rPr>
            </w:r>
            <w:r/>
          </w:p>
          <w:p>
            <w:pPr>
              <w:pStyle w:val="1070"/>
              <w:spacing w:line="360" w:lineRule="exact"/>
              <w:rPr>
                <w:rFonts w:ascii="宋体" w:hAnsi="宋体"/>
                <w:sz w:val="24"/>
              </w:rPr>
            </w:pPr>
            <w:r>
              <w:rPr>
                <w:rFonts w:hint="eastAsia" w:ascii="宋体" w:hAnsi="宋体"/>
                <w:sz w:val="24"/>
              </w:rPr>
              <w:t xml:space="preserve">5.投标人具有有效期内的辐射安全许可证证书的，得1分。</w:t>
            </w:r>
            <w:r>
              <w:rPr>
                <w:rFonts w:ascii="宋体" w:hAnsi="宋体"/>
                <w:sz w:val="24"/>
              </w:rPr>
            </w:r>
            <w:r/>
          </w:p>
          <w:p>
            <w:pPr>
              <w:pStyle w:val="1070"/>
              <w:spacing w:line="360" w:lineRule="exact"/>
              <w:rPr>
                <w:rFonts w:hint="eastAsia" w:ascii="宋体" w:hAnsi="宋体"/>
                <w:b/>
                <w:sz w:val="24"/>
              </w:rPr>
            </w:pPr>
            <w:r>
              <w:rPr>
                <w:rFonts w:hint="eastAsia" w:ascii="宋体" w:hAnsi="宋体"/>
                <w:b/>
                <w:sz w:val="24"/>
              </w:rPr>
              <w:t xml:space="preserve">注：投标文件中提供证书扫描件及全国认证认可信息公共服务平台查询有效的网页截图。</w:t>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cs="宋体"/>
                <w:sz w:val="24"/>
              </w:rPr>
            </w:pPr>
            <w:r>
              <w:rPr>
                <w:rFonts w:hint="eastAsia" w:ascii="宋体" w:hAnsi="宋体" w:cs="宋体"/>
                <w:sz w:val="24"/>
              </w:rPr>
              <w:t xml:space="preserve">3.3</w:t>
            </w:r>
            <w:r>
              <w:rPr>
                <w:rFonts w:ascii="宋体" w:hAnsi="宋体" w:cs="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监控平台</w:t>
            </w:r>
            <w:r>
              <w:rPr>
                <w:rFonts w:ascii="宋体" w:hAnsi="宋体"/>
                <w:sz w:val="24"/>
              </w:rPr>
            </w:r>
            <w:r/>
          </w:p>
        </w:tc>
        <w:tc>
          <w:tcPr>
            <w:tcW w:w="461"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1</w:t>
            </w:r>
            <w:r/>
          </w:p>
        </w:tc>
        <w:tc>
          <w:tcPr>
            <w:tcW w:w="3236" w:type="pct"/>
            <w:vAlign w:val="top"/>
            <w:textDirection w:val="lrTb"/>
            <w:noWrap w:val="false"/>
          </w:tcPr>
          <w:p>
            <w:pPr>
              <w:pStyle w:val="1070"/>
              <w:spacing w:line="360" w:lineRule="exact"/>
              <w:rPr>
                <w:rFonts w:ascii="宋体" w:hAnsi="宋体"/>
                <w:sz w:val="24"/>
              </w:rPr>
            </w:pPr>
            <w:r>
              <w:rPr>
                <w:rFonts w:hint="eastAsia" w:ascii="宋体" w:hAnsi="宋体"/>
                <w:sz w:val="24"/>
              </w:rPr>
              <w:t xml:space="preserve">投标人提供维修远程监控平台，得1分。</w:t>
            </w:r>
            <w:r>
              <w:rPr>
                <w:rFonts w:ascii="宋体" w:hAnsi="宋体"/>
                <w:sz w:val="24"/>
              </w:rPr>
            </w:r>
            <w:r/>
          </w:p>
          <w:p>
            <w:pPr>
              <w:pStyle w:val="1070"/>
              <w:spacing w:line="360" w:lineRule="exact"/>
              <w:rPr>
                <w:rFonts w:hint="eastAsia" w:ascii="宋体" w:hAnsi="宋体"/>
                <w:sz w:val="24"/>
              </w:rPr>
            </w:pPr>
            <w:r>
              <w:rPr>
                <w:rFonts w:hint="eastAsia" w:ascii="宋体" w:hAnsi="宋体"/>
                <w:b/>
                <w:sz w:val="24"/>
              </w:rPr>
              <w:t xml:space="preserve">注</w:t>
            </w:r>
            <w:r>
              <w:rPr>
                <w:rFonts w:hint="eastAsia" w:ascii="宋体" w:hAnsi="宋体"/>
                <w:b/>
                <w:sz w:val="24"/>
              </w:rPr>
              <w:t xml:space="preserve">：提供维修远程监控平台截图。</w:t>
            </w:r>
            <w:r>
              <w:rPr>
                <w:rFonts w:hint="eastAsia" w:ascii="宋体" w:hAnsi="宋体"/>
                <w:sz w:val="24"/>
              </w:rPr>
            </w:r>
            <w:r/>
          </w:p>
        </w:tc>
      </w:tr>
      <w:tr>
        <w:trPr>
          <w:trHeight w:val="170"/>
        </w:trPr>
        <w:tc>
          <w:tcPr>
            <w:tcW w:w="459" w:type="pct"/>
            <w:vAlign w:val="center"/>
            <w:textDirection w:val="lrTb"/>
            <w:noWrap w:val="false"/>
          </w:tcPr>
          <w:p>
            <w:pPr>
              <w:pStyle w:val="1070"/>
              <w:ind w:firstLine="28"/>
              <w:jc w:val="center"/>
              <w:spacing w:line="36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cs="宋体"/>
                <w:bCs/>
                <w:sz w:val="24"/>
              </w:rPr>
              <w:t xml:space="preserve">软件著作权证书</w:t>
            </w:r>
            <w:r>
              <w:rPr>
                <w:rFonts w:ascii="宋体" w:hAnsi="宋体"/>
                <w:sz w:val="24"/>
              </w:rPr>
            </w:r>
            <w:r/>
          </w:p>
        </w:tc>
        <w:tc>
          <w:tcPr>
            <w:tcW w:w="461"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1</w:t>
            </w:r>
            <w:r/>
          </w:p>
        </w:tc>
        <w:tc>
          <w:tcPr>
            <w:tcW w:w="3236" w:type="pct"/>
            <w:vAlign w:val="top"/>
            <w:textDirection w:val="lrTb"/>
            <w:noWrap w:val="false"/>
          </w:tcPr>
          <w:p>
            <w:pPr>
              <w:pStyle w:val="1070"/>
              <w:spacing w:line="360" w:lineRule="exact"/>
              <w:rPr>
                <w:rFonts w:ascii="宋体" w:hAnsi="宋体"/>
                <w:sz w:val="24"/>
              </w:rPr>
            </w:pPr>
            <w:r>
              <w:rPr>
                <w:rFonts w:hint="eastAsia" w:ascii="宋体" w:hAnsi="宋体"/>
                <w:sz w:val="24"/>
              </w:rPr>
              <w:t xml:space="preserve">①提供所供</w:t>
            </w:r>
            <w:r>
              <w:rPr>
                <w:rFonts w:hint="eastAsia" w:ascii="宋体" w:hAnsi="宋体" w:cs="宋体"/>
                <w:bCs/>
                <w:sz w:val="24"/>
              </w:rPr>
              <w:t xml:space="preserve">AI人工智能诊断工具CT肺结节软件的著作权证书，得0.5分。</w:t>
            </w:r>
            <w:r>
              <w:rPr>
                <w:rFonts w:ascii="宋体" w:hAnsi="宋体"/>
                <w:sz w:val="24"/>
              </w:rPr>
            </w:r>
            <w:r/>
          </w:p>
          <w:p>
            <w:pPr>
              <w:pStyle w:val="1083"/>
              <w:rPr>
                <w:rFonts w:hint="eastAsia" w:cs="宋体"/>
                <w:bCs/>
              </w:rPr>
            </w:pPr>
            <w:r>
              <w:rPr>
                <w:rFonts w:hint="eastAsia" w:cs="黑体"/>
              </w:rPr>
              <w:t xml:space="preserve">②</w:t>
            </w:r>
            <w:r>
              <w:rPr>
                <w:rFonts w:hint="eastAsia"/>
              </w:rPr>
              <w:t xml:space="preserve">提供所供</w:t>
            </w:r>
            <w:r>
              <w:rPr>
                <w:rFonts w:hint="eastAsia" w:cs="黑体"/>
              </w:rPr>
              <w:t xml:space="preserve">全生命周期软件系统</w:t>
            </w:r>
            <w:r>
              <w:rPr>
                <w:rFonts w:hint="eastAsia" w:cs="宋体"/>
                <w:bCs/>
              </w:rPr>
              <w:t xml:space="preserve">的著作权证书，得0.5分。</w:t>
            </w:r>
            <w:r/>
          </w:p>
          <w:p>
            <w:pPr>
              <w:pStyle w:val="1070"/>
              <w:spacing w:line="360" w:lineRule="exact"/>
            </w:pPr>
            <w:r>
              <w:rPr>
                <w:rFonts w:hint="eastAsia" w:ascii="宋体" w:hAnsi="宋体"/>
                <w:b/>
                <w:sz w:val="24"/>
              </w:rPr>
              <w:t xml:space="preserve">注：提供证书扫描件。</w:t>
            </w:r>
            <w:r/>
          </w:p>
        </w:tc>
      </w:tr>
      <w:tr>
        <w:trPr>
          <w:trHeight w:val="170"/>
        </w:trPr>
        <w:tc>
          <w:tcPr>
            <w:tcW w:w="459" w:type="pct"/>
            <w:vAlign w:val="center"/>
            <w:textDirection w:val="lrTb"/>
            <w:noWrap w:val="false"/>
          </w:tcPr>
          <w:p>
            <w:pPr>
              <w:pStyle w:val="1070"/>
              <w:ind w:firstLine="28"/>
              <w:jc w:val="center"/>
              <w:spacing w:line="36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W w:w="843" w:type="pct"/>
            <w:vAlign w:val="center"/>
            <w:textDirection w:val="lrTb"/>
            <w:noWrap w:val="false"/>
          </w:tcPr>
          <w:p>
            <w:pPr>
              <w:pStyle w:val="1070"/>
              <w:ind w:firstLine="28"/>
              <w:jc w:val="center"/>
              <w:spacing w:line="360" w:lineRule="exact"/>
              <w:rPr>
                <w:rFonts w:ascii="宋体" w:hAnsi="宋体"/>
                <w:sz w:val="24"/>
              </w:rPr>
            </w:pPr>
            <w:r>
              <w:rPr>
                <w:rFonts w:hint="eastAsia" w:ascii="宋体" w:hAnsi="宋体"/>
                <w:sz w:val="24"/>
              </w:rPr>
              <w:t xml:space="preserve">拟派项目人员</w:t>
            </w:r>
            <w:r>
              <w:rPr>
                <w:rFonts w:ascii="宋体" w:hAnsi="宋体"/>
                <w:sz w:val="24"/>
              </w:rPr>
            </w:r>
            <w:r/>
          </w:p>
        </w:tc>
        <w:tc>
          <w:tcPr>
            <w:tcW w:w="461" w:type="pct"/>
            <w:vAlign w:val="center"/>
            <w:textDirection w:val="lrTb"/>
            <w:noWrap w:val="false"/>
          </w:tcPr>
          <w:p>
            <w:pPr>
              <w:pStyle w:val="1070"/>
              <w:jc w:val="center"/>
              <w:spacing w:line="360" w:lineRule="exact"/>
              <w:widowControl/>
              <w:rPr>
                <w:rFonts w:hint="eastAsia" w:ascii="宋体" w:hAnsi="宋体" w:cs="宋体"/>
                <w:sz w:val="24"/>
              </w:rPr>
            </w:pPr>
            <w:r>
              <w:rPr>
                <w:rFonts w:hint="eastAsia" w:ascii="宋体" w:hAnsi="宋体" w:cs="宋体"/>
                <w:sz w:val="24"/>
              </w:rPr>
              <w:t xml:space="preserve">8</w:t>
            </w:r>
            <w:r/>
          </w:p>
        </w:tc>
        <w:tc>
          <w:tcPr>
            <w:tcW w:w="3236" w:type="pct"/>
            <w:vAlign w:val="top"/>
            <w:textDirection w:val="lrTb"/>
            <w:noWrap w:val="false"/>
          </w:tcPr>
          <w:p>
            <w:pPr>
              <w:pStyle w:val="1070"/>
              <w:spacing w:line="360" w:lineRule="exact"/>
              <w:rPr>
                <w:rFonts w:ascii="宋体" w:hAnsi="宋体"/>
                <w:sz w:val="24"/>
              </w:rPr>
            </w:pPr>
            <w:r>
              <w:rPr>
                <w:rFonts w:hint="eastAsia" w:ascii="宋体" w:hAnsi="宋体"/>
                <w:sz w:val="24"/>
              </w:rPr>
              <w:t xml:space="preserve">投标人派遣工程师取得原厂设备维修培训证书的的数量评分，取得原厂培训证书的每个得1分，取得其他第三方培训证书的每个得0.5分，最高得8分。</w:t>
            </w:r>
            <w:r>
              <w:rPr>
                <w:rFonts w:ascii="宋体" w:hAnsi="宋体"/>
                <w:sz w:val="24"/>
              </w:rPr>
            </w:r>
            <w:r/>
          </w:p>
          <w:p>
            <w:pPr>
              <w:pStyle w:val="1070"/>
              <w:spacing w:line="360" w:lineRule="exact"/>
              <w:rPr>
                <w:rFonts w:hint="eastAsia" w:ascii="宋体" w:hAnsi="宋体"/>
                <w:b/>
                <w:sz w:val="24"/>
              </w:rPr>
            </w:pPr>
            <w:r>
              <w:rPr>
                <w:rFonts w:hint="eastAsia" w:ascii="宋体" w:hAnsi="宋体"/>
                <w:b/>
                <w:sz w:val="24"/>
              </w:rPr>
              <w:t xml:space="preserve">注：提供人员相关证书扫描件。</w:t>
            </w:r>
            <w:r/>
          </w:p>
        </w:tc>
      </w:tr>
      <w:tr>
        <w:trPr>
          <w:trHeight w:val="170"/>
        </w:trPr>
        <w:tc>
          <w:tcPr>
            <w:gridSpan w:val="2"/>
            <w:tcW w:w="1302" w:type="pct"/>
            <w:vAlign w:val="center"/>
            <w:textDirection w:val="lrTb"/>
            <w:noWrap w:val="false"/>
          </w:tcPr>
          <w:p>
            <w:pPr>
              <w:pStyle w:val="1070"/>
              <w:ind w:firstLine="28"/>
              <w:jc w:val="center"/>
              <w:spacing w:line="360" w:lineRule="exact"/>
              <w:rPr>
                <w:rFonts w:ascii="宋体" w:hAnsi="宋体"/>
                <w:sz w:val="24"/>
              </w:rPr>
            </w:pPr>
            <w:r>
              <w:rPr>
                <w:rFonts w:ascii="宋体" w:hAnsi="宋体"/>
                <w:sz w:val="24"/>
              </w:rPr>
              <w:t xml:space="preserve">合计</w:t>
            </w:r>
            <w:r/>
          </w:p>
        </w:tc>
        <w:tc>
          <w:tcPr>
            <w:tcW w:w="461" w:type="pct"/>
            <w:vAlign w:val="center"/>
            <w:textDirection w:val="lrTb"/>
            <w:noWrap w:val="false"/>
          </w:tcPr>
          <w:p>
            <w:pPr>
              <w:pStyle w:val="1070"/>
              <w:ind w:firstLine="28"/>
              <w:jc w:val="center"/>
              <w:spacing w:line="360" w:lineRule="exact"/>
              <w:rPr>
                <w:rFonts w:ascii="宋体" w:hAnsi="宋体"/>
                <w:sz w:val="24"/>
              </w:rPr>
            </w:pPr>
            <w:r>
              <w:rPr>
                <w:rFonts w:ascii="宋体" w:hAnsi="宋体"/>
                <w:sz w:val="24"/>
              </w:rPr>
              <w:t xml:space="preserve">100</w:t>
            </w:r>
            <w:r/>
          </w:p>
        </w:tc>
        <w:tc>
          <w:tcPr>
            <w:tcW w:w="3236" w:type="pct"/>
            <w:vAlign w:val="center"/>
            <w:textDirection w:val="lrTb"/>
            <w:noWrap w:val="false"/>
          </w:tcPr>
          <w:p>
            <w:pPr>
              <w:pStyle w:val="1070"/>
              <w:spacing w:line="360" w:lineRule="exact"/>
              <w:rPr>
                <w:rFonts w:ascii="宋体" w:hAnsi="宋体"/>
                <w:sz w:val="24"/>
              </w:rPr>
            </w:pPr>
            <w:r>
              <w:rPr>
                <w:rFonts w:ascii="宋体" w:hAnsi="宋体"/>
                <w:sz w:val="24"/>
              </w:rPr>
            </w:r>
            <w:r/>
          </w:p>
        </w:tc>
      </w:tr>
    </w:tbl>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0"/>
        <w:contextualSpacing/>
        <w:ind w:firstLine="482"/>
        <w:jc w:val="left"/>
        <w:spacing w:line="360" w:lineRule="auto"/>
        <w:rPr>
          <w:rFonts w:ascii="宋体" w:hAnsi="宋体" w:cs="黑体"/>
          <w:b/>
          <w:sz w:val="24"/>
        </w:rPr>
      </w:pPr>
      <w:r>
        <w:rPr>
          <w:rFonts w:hint="eastAsia" w:ascii="宋体" w:hAnsi="宋体" w:cs="黑体"/>
          <w:b/>
          <w:sz w:val="24"/>
        </w:rPr>
        <w:t xml:space="preserve">一、采购标的</w:t>
      </w:r>
      <w:r>
        <w:rPr>
          <w:rFonts w:ascii="宋体" w:hAnsi="宋体" w:cs="黑体"/>
          <w:b/>
          <w:sz w:val="24"/>
        </w:rPr>
      </w:r>
      <w:r/>
    </w:p>
    <w:p>
      <w:pPr>
        <w:pStyle w:val="1070"/>
        <w:contextualSpacing/>
        <w:ind w:firstLine="482"/>
        <w:jc w:val="left"/>
        <w:spacing w:line="360" w:lineRule="auto"/>
        <w:rPr>
          <w:rFonts w:ascii="宋体" w:hAnsi="宋体" w:cs="宋体"/>
          <w:sz w:val="24"/>
        </w:rPr>
      </w:pPr>
      <w:r>
        <w:rPr>
          <w:rFonts w:hint="eastAsia" w:ascii="宋体" w:hAnsi="宋体" w:cs="宋体"/>
          <w:sz w:val="24"/>
        </w:rPr>
        <w:t xml:space="preserve">1.维保要求：CT+DR+窥镜整机全保，其它设备技术保。</w:t>
      </w:r>
      <w:r>
        <w:rPr>
          <w:rFonts w:ascii="宋体" w:hAnsi="宋体" w:cs="宋体"/>
          <w:sz w:val="24"/>
        </w:rPr>
      </w:r>
      <w:r/>
    </w:p>
    <w:p>
      <w:pPr>
        <w:pStyle w:val="1070"/>
        <w:contextualSpacing/>
        <w:ind w:firstLine="482"/>
        <w:jc w:val="left"/>
        <w:spacing w:line="360" w:lineRule="auto"/>
        <w:rPr>
          <w:rFonts w:ascii="宋体" w:hAnsi="宋体" w:cs="黑体"/>
          <w:sz w:val="24"/>
        </w:rPr>
      </w:pPr>
      <w:r>
        <w:rPr>
          <w:rFonts w:hint="eastAsia" w:ascii="宋体" w:hAnsi="宋体" w:cs="宋体"/>
          <w:sz w:val="24"/>
        </w:rPr>
        <w:t xml:space="preserve">2.整体运维智慧化管理。</w:t>
      </w:r>
      <w:r>
        <w:rPr>
          <w:rFonts w:ascii="宋体" w:hAnsi="宋体" w:cs="黑体"/>
          <w:sz w:val="24"/>
        </w:rPr>
      </w:r>
      <w:r/>
    </w:p>
    <w:p>
      <w:pPr>
        <w:pStyle w:val="1070"/>
        <w:contextualSpacing/>
        <w:ind w:firstLine="482"/>
        <w:jc w:val="left"/>
        <w:spacing w:line="360" w:lineRule="auto"/>
        <w:rPr>
          <w:rFonts w:ascii="宋体" w:hAnsi="宋体" w:cs="宋体"/>
          <w:sz w:val="24"/>
        </w:rPr>
      </w:pPr>
      <w:r>
        <w:rPr>
          <w:rFonts w:hint="eastAsia" w:ascii="宋体" w:hAnsi="宋体" w:cs="宋体"/>
          <w:sz w:val="24"/>
        </w:rPr>
        <w:t xml:space="preserve">3.维保设备清单</w:t>
      </w:r>
      <w:r>
        <w:rPr>
          <w:rFonts w:ascii="宋体" w:hAnsi="宋体" w:cs="宋体"/>
          <w:sz w:val="24"/>
        </w:rPr>
      </w:r>
      <w:r/>
    </w:p>
    <w:p>
      <w:pPr>
        <w:pStyle w:val="1070"/>
        <w:contextualSpacing/>
        <w:ind w:firstLine="482"/>
        <w:jc w:val="left"/>
        <w:spacing w:line="360" w:lineRule="auto"/>
        <w:rPr>
          <w:rFonts w:hint="eastAsia" w:ascii="宋体" w:hAnsi="宋体" w:cs="黑体"/>
          <w:sz w:val="24"/>
        </w:rPr>
      </w:pPr>
      <w:r>
        <w:rPr>
          <w:rFonts w:hint="eastAsia" w:ascii="宋体" w:hAnsi="宋体" w:cs="黑体"/>
          <w:sz w:val="24"/>
        </w:rPr>
        <w:t xml:space="preserve">（1）综合类医疗设备整体运维医疗设备维保清单：</w:t>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8"/>
        <w:gridCol w:w="3296"/>
        <w:gridCol w:w="3303"/>
        <w:gridCol w:w="658"/>
        <w:gridCol w:w="1369"/>
      </w:tblGrid>
      <w:tr>
        <w:trPr>
          <w:trHeight w:val="673"/>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rFonts w:hint="eastAsia" w:ascii="宋体" w:hAnsi="宋体" w:cs="宋体"/>
                <w:b/>
                <w:bCs/>
                <w:sz w:val="22"/>
                <w:szCs w:val="22"/>
              </w:rPr>
            </w:pPr>
            <w:r>
              <w:rPr>
                <w:rFonts w:hint="eastAsia" w:ascii="宋体" w:hAnsi="宋体" w:cs="宋体"/>
                <w:b/>
                <w:bCs/>
                <w:sz w:val="22"/>
                <w:szCs w:val="22"/>
                <w:lang w:bidi="ar"/>
              </w:rPr>
              <w:t xml:space="preserve">序号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b/>
                <w:bCs/>
                <w:sz w:val="22"/>
                <w:szCs w:val="22"/>
              </w:rPr>
            </w:pPr>
            <w:r>
              <w:rPr>
                <w:rFonts w:hint="eastAsia" w:ascii="宋体" w:hAnsi="宋体" w:cs="宋体"/>
                <w:b/>
                <w:bCs/>
                <w:sz w:val="22"/>
                <w:szCs w:val="22"/>
                <w:lang w:bidi="ar"/>
              </w:rPr>
              <w:t xml:space="preserve">设备名称</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rFonts w:hint="eastAsia" w:ascii="宋体" w:hAnsi="宋体" w:cs="宋体"/>
                <w:b/>
                <w:bCs/>
                <w:sz w:val="22"/>
                <w:szCs w:val="22"/>
              </w:rPr>
            </w:pPr>
            <w:r>
              <w:rPr>
                <w:rFonts w:hint="eastAsia" w:ascii="宋体" w:hAnsi="宋体" w:cs="宋体"/>
                <w:b/>
                <w:bCs/>
                <w:sz w:val="22"/>
                <w:szCs w:val="22"/>
                <w:lang w:bidi="ar"/>
              </w:rPr>
              <w:t xml:space="preserve">型号</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rFonts w:hint="eastAsia" w:ascii="宋体" w:hAnsi="宋体" w:cs="宋体"/>
                <w:b/>
                <w:bCs/>
                <w:sz w:val="22"/>
                <w:szCs w:val="22"/>
              </w:rPr>
            </w:pPr>
            <w:r>
              <w:rPr>
                <w:rFonts w:hint="eastAsia" w:ascii="宋体" w:hAnsi="宋体" w:cs="宋体"/>
                <w:b/>
                <w:bCs/>
                <w:sz w:val="22"/>
                <w:szCs w:val="22"/>
                <w:lang w:bidi="ar"/>
              </w:rPr>
              <w:t xml:space="preserve">数量</w:t>
            </w:r>
            <w:r>
              <w:rPr>
                <w:rFonts w:hint="eastAsia"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061" w:type="pct"/>
            <w:vAlign w:val="center"/>
            <w:textDirection w:val="lrTb"/>
            <w:noWrap/>
          </w:tcPr>
          <w:p>
            <w:pPr>
              <w:pStyle w:val="1070"/>
              <w:jc w:val="center"/>
              <w:widowControl/>
              <w:rPr>
                <w:rFonts w:ascii="宋体" w:hAnsi="宋体" w:cs="宋体"/>
                <w:b/>
                <w:bCs/>
                <w:sz w:val="22"/>
                <w:szCs w:val="22"/>
              </w:rPr>
            </w:pPr>
            <w:r>
              <w:rPr>
                <w:rFonts w:hint="eastAsia" w:ascii="宋体" w:hAnsi="宋体" w:cs="宋体"/>
                <w:b/>
                <w:bCs/>
                <w:sz w:val="22"/>
                <w:szCs w:val="22"/>
                <w:lang w:bidi="ar"/>
              </w:rPr>
              <w:t xml:space="preserve">维保范围</w:t>
            </w:r>
            <w:r>
              <w:rPr>
                <w:rFonts w:ascii="宋体" w:hAnsi="宋体" w:cs="宋体"/>
                <w:b/>
                <w:bCs/>
                <w:sz w:val="22"/>
                <w:szCs w:val="22"/>
              </w:rPr>
            </w:r>
            <w:r/>
          </w:p>
        </w:tc>
      </w:tr>
      <w:tr>
        <w:trPr>
          <w:cantSplit/>
          <w:trHeight w:val="497"/>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sz w:val="22"/>
                <w:szCs w:val="22"/>
              </w:rPr>
            </w:pPr>
            <w:r>
              <w:rPr>
                <w:sz w:val="22"/>
                <w:szCs w:val="22"/>
                <w:lang w:bidi="ar"/>
              </w:rPr>
              <w:t xml:space="preserve">CT</w:t>
            </w:r>
            <w:r>
              <w:rPr>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SOMATON go.Now</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top w:val="single" w:color="000000" w:sz="4" w:space="0"/>
              <w:left w:val="single" w:color="000000" w:sz="4" w:space="0"/>
              <w:right w:val="single" w:color="000000" w:sz="4" w:space="0"/>
            </w:tcBorders>
            <w:tcW w:w="1061" w:type="pct"/>
            <w:vAlign w:val="center"/>
            <w:vMerge w:val="restart"/>
            <w:textDirection w:val="lrTb"/>
            <w:noWrap/>
          </w:tcPr>
          <w:p>
            <w:pPr>
              <w:pStyle w:val="1070"/>
              <w:jc w:val="center"/>
              <w:widowControl/>
              <w:rPr>
                <w:rFonts w:ascii="宋体" w:hAnsi="宋体" w:cs="宋体"/>
                <w:sz w:val="22"/>
                <w:szCs w:val="22"/>
              </w:rPr>
            </w:pPr>
            <w:r>
              <w:rPr>
                <w:rFonts w:hint="eastAsia" w:ascii="宋体" w:hAnsi="宋体" w:cs="宋体"/>
                <w:sz w:val="22"/>
                <w:szCs w:val="22"/>
              </w:rPr>
              <w:t xml:space="preserve">全保</w:t>
            </w:r>
            <w:r>
              <w:rPr>
                <w:rFonts w:ascii="宋体" w:hAnsi="宋体" w:cs="宋体"/>
                <w:sz w:val="22"/>
                <w:szCs w:val="22"/>
              </w:rPr>
            </w:r>
            <w:r/>
          </w:p>
        </w:tc>
      </w:tr>
      <w:tr>
        <w:trPr>
          <w:cantSplit/>
          <w:trHeight w:val="497"/>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2</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sz w:val="22"/>
                <w:szCs w:val="22"/>
              </w:rPr>
            </w:pPr>
            <w:r>
              <w:rPr>
                <w:sz w:val="22"/>
                <w:szCs w:val="22"/>
                <w:lang w:bidi="ar"/>
              </w:rPr>
              <w:t xml:space="preserve">DR</w:t>
            </w:r>
            <w:r>
              <w:rPr>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DRX-1</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3</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电子胃镜（含内窥镜2根）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EPK-i500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rFonts w:hint="eastAsia"/>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ascii="宋体" w:hAnsi="宋体" w:cs="宋体"/>
                <w:sz w:val="22"/>
                <w:szCs w:val="22"/>
              </w:rPr>
            </w:pPr>
            <w:r>
              <w:rPr>
                <w:rFonts w:ascii="宋体" w:hAnsi="宋体" w:cs="宋体"/>
                <w:sz w:val="22"/>
                <w:szCs w:val="22"/>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4</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高清电子肠镜（含内窥镜1根）</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EC34-i10F</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sz w:val="22"/>
                <w:szCs w:val="22"/>
              </w:rPr>
            </w:pPr>
            <w:r>
              <w:rPr>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5</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胃肠透视机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PLD5600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top w:val="single" w:color="000000" w:sz="4" w:space="0"/>
              <w:left w:val="single" w:color="000000" w:sz="4" w:space="0"/>
              <w:right w:val="single" w:color="000000" w:sz="4" w:space="0"/>
            </w:tcBorders>
            <w:tcW w:w="1061" w:type="pct"/>
            <w:vAlign w:val="center"/>
            <w:vMerge w:val="restart"/>
            <w:textDirection w:val="lrTb"/>
            <w:noWrap/>
          </w:tcPr>
          <w:p>
            <w:pPr>
              <w:pStyle w:val="1070"/>
              <w:jc w:val="center"/>
              <w:widowControl/>
              <w:rPr>
                <w:rFonts w:ascii="宋体" w:hAnsi="宋体" w:cs="宋体"/>
                <w:sz w:val="22"/>
                <w:szCs w:val="22"/>
              </w:rPr>
            </w:pPr>
            <w:r>
              <w:rPr>
                <w:rFonts w:hint="eastAsia" w:ascii="宋体" w:hAnsi="宋体" w:cs="宋体"/>
                <w:sz w:val="22"/>
                <w:szCs w:val="22"/>
              </w:rPr>
              <w:t xml:space="preserve">技术保</w:t>
            </w:r>
            <w:r>
              <w:rPr>
                <w:rFonts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6</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彩超</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DC-N6 PR0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sz w:val="22"/>
                <w:szCs w:val="22"/>
              </w:rPr>
            </w:pPr>
            <w:r>
              <w:rPr>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7</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彩超</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Resona 7</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rFonts w:hint="eastAsia"/>
                <w:sz w:val="22"/>
                <w:szCs w:val="22"/>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ascii="宋体" w:hAnsi="宋体" w:cs="宋体"/>
                <w:sz w:val="22"/>
                <w:szCs w:val="22"/>
              </w:rPr>
            </w:pPr>
            <w:r>
              <w:rPr>
                <w:rFonts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8</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彩超</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SONIMAGE</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9</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便携式彩超</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M7Expert</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10</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全自动生化分析仪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AU680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ascii="宋体" w:hAnsi="宋体" w:cs="宋体"/>
                <w:sz w:val="22"/>
                <w:szCs w:val="22"/>
              </w:rPr>
            </w:pPr>
            <w:r>
              <w:rPr>
                <w:rFonts w:ascii="宋体" w:hAnsi="宋体" w:cs="宋体"/>
                <w:sz w:val="22"/>
                <w:szCs w:val="22"/>
              </w:rPr>
            </w:r>
            <w:r/>
          </w:p>
        </w:tc>
      </w:tr>
      <w:tr>
        <w:trPr>
          <w:cantSplit/>
          <w:trHeight w:val="84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11</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ascii="宋体" w:hAnsi="宋体" w:cs="宋体"/>
                <w:sz w:val="22"/>
                <w:szCs w:val="22"/>
              </w:rPr>
            </w:pPr>
            <w:r>
              <w:rPr>
                <w:rFonts w:hint="eastAsia" w:ascii="宋体" w:hAnsi="宋体" w:cs="宋体"/>
                <w:sz w:val="22"/>
                <w:szCs w:val="22"/>
                <w:lang w:bidi="ar"/>
              </w:rPr>
              <w:t xml:space="preserve">全自动五分类血液分析仪</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XN-550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12</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全自动凝血分析仪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C3500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rFonts w:hint="eastAsia"/>
                <w:sz w:val="22"/>
                <w:szCs w:val="22"/>
                <w:lang w:bidi="ar"/>
              </w:rPr>
              <w:t xml:space="preserve">3</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全自动尿液分析仪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FUS-2000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rFonts w:hint="eastAsia"/>
                <w:sz w:val="22"/>
                <w:szCs w:val="22"/>
                <w:lang w:bidi="ar"/>
              </w:rPr>
              <w:t xml:space="preserve">4</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高频电刀</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P0WER-420A</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15</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麻醉机</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rFonts w:hint="eastAsia"/>
                <w:sz w:val="22"/>
                <w:szCs w:val="22"/>
                <w:lang w:bidi="ar"/>
              </w:rPr>
              <w:t xml:space="preserve">EX55</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rFonts w:hint="eastAsia"/>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sz w:val="22"/>
                <w:szCs w:val="22"/>
                <w:lang w:bidi="ar"/>
              </w:rPr>
              <w:t xml:space="preserve">1</w:t>
            </w:r>
            <w:r>
              <w:rPr>
                <w:rFonts w:hint="eastAsia"/>
                <w:sz w:val="22"/>
                <w:szCs w:val="22"/>
                <w:lang w:bidi="ar"/>
              </w:rPr>
              <w:t xml:space="preserve">6</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ascii="宋体" w:hAnsi="宋体" w:cs="宋体"/>
                <w:sz w:val="22"/>
                <w:szCs w:val="22"/>
                <w:lang w:bidi="ar"/>
              </w:rPr>
            </w:pPr>
            <w:r>
              <w:rPr>
                <w:rFonts w:hint="eastAsia" w:ascii="宋体" w:hAnsi="宋体" w:cs="宋体"/>
                <w:sz w:val="22"/>
                <w:szCs w:val="22"/>
                <w:lang w:bidi="ar"/>
              </w:rPr>
              <w:t xml:space="preserve">麻醉呼吸机</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rFonts w:ascii="宋体" w:hAnsi="宋体" w:cs="宋体"/>
                <w:sz w:val="22"/>
                <w:szCs w:val="22"/>
              </w:rPr>
            </w:pPr>
            <w:r>
              <w:rPr>
                <w:sz w:val="22"/>
                <w:szCs w:val="22"/>
                <w:lang w:bidi="ar"/>
              </w:rPr>
              <w:t xml:space="preserve">AESPIRE</w:t>
            </w:r>
            <w:r>
              <w:rPr>
                <w:rFonts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sz w:val="22"/>
                <w:szCs w:val="22"/>
                <w:lang w:bidi="ar"/>
              </w:rPr>
              <w:t xml:space="preserve">1</w:t>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rFonts w:hint="eastAsia"/>
                <w:sz w:val="22"/>
                <w:szCs w:val="22"/>
                <w:lang w:bidi="ar"/>
              </w:rPr>
              <w:t xml:space="preserve">7</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麻醉监护仪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BeneVision N15</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497"/>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rFonts w:hint="eastAsia"/>
                <w:sz w:val="22"/>
                <w:szCs w:val="22"/>
                <w:lang w:bidi="ar"/>
              </w:rPr>
              <w:t xml:space="preserve">8</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病人监护仪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BeneVision N15</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3</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sz w:val="22"/>
                <w:szCs w:val="22"/>
                <w:lang w:bidi="ar"/>
              </w:rPr>
              <w:t xml:space="preserve">1</w:t>
            </w:r>
            <w:r>
              <w:rPr>
                <w:rFonts w:hint="eastAsia"/>
                <w:sz w:val="22"/>
                <w:szCs w:val="22"/>
                <w:lang w:bidi="ar"/>
              </w:rPr>
              <w:t xml:space="preserve">9</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病人监护仪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ePM10</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3</w:t>
            </w:r>
            <w:r>
              <w:rPr>
                <w:sz w:val="22"/>
                <w:szCs w:val="22"/>
              </w:rPr>
            </w:r>
            <w:r/>
          </w:p>
        </w:tc>
        <w:tc>
          <w:tcPr>
            <w:tcBorders>
              <w:left w:val="single" w:color="000000" w:sz="4" w:space="0"/>
              <w:right w:val="single" w:color="000000" w:sz="4" w:space="0"/>
            </w:tcBorders>
            <w:tcW w:w="1061" w:type="pct"/>
            <w:vAlign w:val="center"/>
            <w:vMerge w:val="continue"/>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20</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病人监护仪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BeneVisionN1</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rFonts w:hint="eastAsia"/>
                <w:sz w:val="22"/>
                <w:szCs w:val="22"/>
                <w:lang w:bidi="ar"/>
              </w:rPr>
              <w:t xml:space="preserve">2</w:t>
            </w:r>
            <w:r>
              <w:rPr>
                <w:sz w:val="22"/>
                <w:szCs w:val="22"/>
              </w:rPr>
            </w:r>
            <w:r/>
          </w:p>
        </w:tc>
        <w:tc>
          <w:tcPr>
            <w:tcBorders>
              <w:left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21</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除颤监护仪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BeneHeart D3</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sz w:val="22"/>
                <w:szCs w:val="22"/>
                <w:lang w:bidi="ar"/>
              </w:rPr>
              <w:t xml:space="preserve">1</w:t>
            </w:r>
            <w:r/>
          </w:p>
        </w:tc>
        <w:tc>
          <w:tcPr>
            <w:tcBorders>
              <w:left w:val="single" w:color="000000" w:sz="4" w:space="0"/>
              <w:right w:val="single" w:color="000000" w:sz="4" w:space="0"/>
            </w:tcBorders>
            <w:tcW w:w="1061" w:type="pct"/>
            <w:vAlign w:val="center"/>
            <w:vMerge w:val="continue"/>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22</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胎心监护仪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rPr>
            </w:pPr>
            <w:r>
              <w:rPr>
                <w:sz w:val="22"/>
                <w:szCs w:val="22"/>
                <w:lang w:bidi="ar"/>
              </w:rPr>
              <w:t xml:space="preserve">F6</w:t>
            </w:r>
            <w:r>
              <w:rPr>
                <w:sz w:val="22"/>
                <w:szCs w:val="22"/>
              </w:rPr>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sz w:val="22"/>
                <w:szCs w:val="22"/>
                <w:lang w:bidi="ar"/>
              </w:rPr>
              <w:t xml:space="preserve">1</w:t>
            </w:r>
            <w:r>
              <w:rPr>
                <w:sz w:val="22"/>
                <w:szCs w:val="22"/>
              </w:rPr>
            </w:r>
            <w:r/>
          </w:p>
        </w:tc>
        <w:tc>
          <w:tcPr>
            <w:tcBorders>
              <w:left w:val="single" w:color="000000" w:sz="4" w:space="0"/>
              <w:right w:val="single" w:color="000000" w:sz="4" w:space="0"/>
            </w:tcBorders>
            <w:tcW w:w="1061" w:type="pct"/>
            <w:vAlign w:val="center"/>
            <w:vMerge w:val="continue"/>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23</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射频控温冷凝器</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R-2000B A2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24</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气压弹道式体外压力波治疗仪</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SWISS DOLORCLAST  smart20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25</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内镜清洗工作站</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DK-NQG-6000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26</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ascii="宋体" w:hAnsi="宋体" w:cs="宋体"/>
                <w:sz w:val="22"/>
                <w:szCs w:val="22"/>
                <w:lang w:bidi="ar"/>
              </w:rPr>
            </w:pPr>
            <w:r>
              <w:rPr>
                <w:rFonts w:hint="eastAsia" w:ascii="宋体" w:hAnsi="宋体" w:cs="宋体"/>
                <w:sz w:val="22"/>
                <w:szCs w:val="22"/>
                <w:lang w:bidi="ar"/>
              </w:rPr>
              <w:t xml:space="preserve">电听测仪</w:t>
            </w:r>
            <w:r>
              <w:rPr>
                <w:rFonts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AD226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27</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肺功能检测仪</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S-980A</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28</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裂隙灯</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YZ5T</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828"/>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lang w:bidi="ar"/>
              </w:rPr>
            </w:pPr>
            <w:r>
              <w:rPr>
                <w:rFonts w:hint="eastAsia"/>
                <w:sz w:val="22"/>
                <w:szCs w:val="22"/>
                <w:lang w:bidi="ar"/>
              </w:rPr>
              <w:t xml:space="preserve">29</w:t>
            </w:r>
            <w:r>
              <w:rPr>
                <w:sz w:val="22"/>
                <w:szCs w:val="22"/>
                <w:lang w:bidi="ar"/>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lang w:bidi="ar"/>
              </w:rPr>
            </w:pPr>
            <w:r>
              <w:rPr>
                <w:rFonts w:hint="eastAsia" w:ascii="宋体" w:hAnsi="宋体" w:cs="宋体"/>
                <w:sz w:val="22"/>
                <w:szCs w:val="22"/>
                <w:lang w:bidi="ar"/>
              </w:rPr>
              <w:t xml:space="preserve">便携式耳声发射测试仪</w:t>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otoRead</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lang w:bidi="ar"/>
              </w:rPr>
            </w:pPr>
            <w:r>
              <w:rPr>
                <w:rFonts w:hint="eastAsia"/>
                <w:sz w:val="22"/>
                <w:szCs w:val="22"/>
                <w:lang w:bidi="ar"/>
              </w:rPr>
              <w:t xml:space="preserve">1</w:t>
            </w:r>
            <w:r>
              <w:rPr>
                <w:sz w:val="22"/>
                <w:szCs w:val="22"/>
                <w:lang w:bidi="ar"/>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pStyle w:val="1070"/>
              <w:jc w:val="center"/>
              <w:widowControl/>
              <w:rPr>
                <w:sz w:val="22"/>
                <w:szCs w:val="22"/>
              </w:rPr>
            </w:pPr>
            <w:r>
              <w:rPr>
                <w:rFonts w:hint="eastAsia"/>
                <w:sz w:val="22"/>
                <w:szCs w:val="22"/>
                <w:lang w:bidi="ar"/>
              </w:rPr>
              <w:t xml:space="preserve">30</w:t>
            </w:r>
            <w:r>
              <w:rPr>
                <w:sz w:val="22"/>
                <w:szCs w:val="22"/>
              </w:rPr>
            </w:r>
            <w:r/>
          </w:p>
        </w:tc>
        <w:tc>
          <w:tcPr>
            <w:tcBorders>
              <w:top w:val="single" w:color="000000" w:sz="4" w:space="0"/>
              <w:left w:val="single" w:color="000000" w:sz="4" w:space="0"/>
              <w:bottom w:val="single" w:color="000000" w:sz="4" w:space="0"/>
              <w:right w:val="single" w:color="000000" w:sz="4" w:space="0"/>
            </w:tcBorders>
            <w:tcW w:w="1643" w:type="pct"/>
            <w:vAlign w:val="center"/>
            <w:textDirection w:val="lrTb"/>
            <w:noWrap w:val="false"/>
          </w:tcPr>
          <w:p>
            <w:pPr>
              <w:pStyle w:val="1070"/>
              <w:jc w:val="center"/>
              <w:widowControl/>
              <w:rPr>
                <w:rFonts w:hint="eastAsia" w:ascii="宋体" w:hAnsi="宋体" w:cs="宋体"/>
                <w:sz w:val="22"/>
                <w:szCs w:val="22"/>
              </w:rPr>
            </w:pPr>
            <w:r>
              <w:rPr>
                <w:rFonts w:hint="eastAsia" w:ascii="宋体" w:hAnsi="宋体" w:cs="宋体"/>
                <w:sz w:val="22"/>
                <w:szCs w:val="22"/>
                <w:lang w:bidi="ar"/>
              </w:rPr>
              <w:t xml:space="preserve">屈光筛查仪</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pStyle w:val="1070"/>
              <w:jc w:val="center"/>
              <w:widowControl/>
              <w:rPr>
                <w:sz w:val="22"/>
                <w:szCs w:val="22"/>
                <w:lang w:bidi="ar"/>
              </w:rPr>
            </w:pPr>
            <w:r>
              <w:rPr>
                <w:sz w:val="22"/>
                <w:szCs w:val="22"/>
                <w:lang w:bidi="ar"/>
              </w:rPr>
              <w:t xml:space="preserve">SW-800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pStyle w:val="1070"/>
              <w:jc w:val="center"/>
              <w:widowControl/>
              <w:rPr>
                <w:sz w:val="22"/>
                <w:szCs w:val="22"/>
              </w:rPr>
            </w:pPr>
            <w:r>
              <w:rPr>
                <w:rFonts w:hint="eastAsia"/>
                <w:sz w:val="22"/>
                <w:szCs w:val="22"/>
                <w:lang w:bidi="ar"/>
              </w:rPr>
              <w:t xml:space="preserve">1</w:t>
            </w:r>
            <w:r>
              <w:rPr>
                <w:sz w:val="22"/>
                <w:szCs w:val="22"/>
              </w:rPr>
            </w:r>
            <w:r/>
          </w:p>
        </w:tc>
        <w:tc>
          <w:tcPr>
            <w:tcBorders>
              <w:left w:val="single" w:color="000000" w:sz="4" w:space="0"/>
              <w:bottom w:val="single" w:color="000000" w:sz="4" w:space="0"/>
              <w:right w:val="single" w:color="000000" w:sz="4" w:space="0"/>
            </w:tcBorders>
            <w:tcW w:w="1061" w:type="pct"/>
            <w:vAlign w:val="center"/>
            <w:vMerge w:val="continue"/>
            <w:textDirection w:val="lrTb"/>
            <w:noWrap/>
          </w:tcPr>
          <w:p>
            <w:pPr>
              <w:pStyle w:val="1070"/>
              <w:jc w:val="center"/>
              <w:widowControl/>
              <w:rPr>
                <w:rFonts w:hint="eastAsia" w:ascii="宋体" w:hAnsi="宋体" w:cs="宋体"/>
                <w:sz w:val="22"/>
                <w:szCs w:val="22"/>
              </w:rPr>
            </w:pPr>
            <w:r>
              <w:rPr>
                <w:rFonts w:hint="eastAsia" w:ascii="宋体" w:hAnsi="宋体" w:cs="宋体"/>
                <w:sz w:val="22"/>
                <w:szCs w:val="22"/>
              </w:rPr>
            </w:r>
            <w:r/>
          </w:p>
        </w:tc>
      </w:tr>
    </w:tbl>
    <w:p>
      <w:pPr>
        <w:pStyle w:val="1070"/>
        <w:contextualSpacing/>
        <w:ind w:firstLine="482"/>
        <w:jc w:val="left"/>
        <w:spacing w:line="360" w:lineRule="auto"/>
        <w:rPr>
          <w:rFonts w:hint="eastAsia" w:ascii="宋体" w:hAnsi="宋体" w:cs="黑体"/>
          <w:sz w:val="24"/>
        </w:rPr>
      </w:pPr>
      <w:r>
        <w:rPr>
          <w:rFonts w:hint="eastAsia" w:ascii="宋体" w:hAnsi="宋体" w:cs="黑体"/>
          <w:sz w:val="24"/>
        </w:rPr>
        <w:t xml:space="preserve">（2）另有290台医疗设备需按照整体运维管理要求进行全生命周期软件系统管理，中标人需负责设备出保后的维修保养（不含维修配件费用）。</w:t>
      </w:r>
      <w:r/>
    </w:p>
    <w:p>
      <w:pPr>
        <w:pStyle w:val="1070"/>
        <w:contextualSpacing/>
        <w:ind w:firstLine="482"/>
        <w:jc w:val="left"/>
        <w:spacing w:line="360" w:lineRule="auto"/>
        <w:rPr>
          <w:rFonts w:ascii="宋体" w:hAnsi="宋体" w:cs="黑体"/>
          <w:b/>
          <w:sz w:val="24"/>
        </w:rPr>
      </w:pPr>
      <w:r>
        <w:rPr>
          <w:rFonts w:hint="eastAsia" w:ascii="宋体" w:hAnsi="宋体" w:cs="黑体"/>
          <w:b/>
          <w:sz w:val="24"/>
        </w:rPr>
        <w:t xml:space="preserve">二、维保服务要求</w:t>
      </w:r>
      <w:r>
        <w:rPr>
          <w:rFonts w:ascii="宋体" w:hAnsi="宋体" w:cs="黑体"/>
          <w:b/>
          <w:sz w:val="24"/>
        </w:rPr>
      </w:r>
      <w:r/>
    </w:p>
    <w:p>
      <w:pPr>
        <w:pStyle w:val="1070"/>
        <w:ind w:firstLine="480"/>
        <w:spacing w:line="360" w:lineRule="auto"/>
        <w:rPr>
          <w:rFonts w:ascii="宋体" w:hAnsi="宋体" w:cs="宋体"/>
          <w:bCs/>
          <w:sz w:val="24"/>
        </w:rPr>
      </w:pPr>
      <w:r>
        <w:rPr>
          <w:rFonts w:hint="eastAsia" w:ascii="宋体" w:hAnsi="宋体" w:cs="宋体"/>
          <w:bCs/>
          <w:sz w:val="24"/>
          <w:lang w:bidi="ar"/>
        </w:rPr>
        <w:t xml:space="preserve">1.定期巡检、保养</w:t>
      </w:r>
      <w:r>
        <w:rPr>
          <w:rFonts w:ascii="宋体" w:hAnsi="宋体" w:cs="宋体"/>
          <w:bCs/>
          <w:sz w:val="24"/>
        </w:rPr>
      </w:r>
      <w:r/>
    </w:p>
    <w:p>
      <w:pPr>
        <w:pStyle w:val="1070"/>
        <w:ind w:firstLine="480"/>
        <w:spacing w:line="360" w:lineRule="auto"/>
        <w:rPr>
          <w:rFonts w:ascii="宋体" w:hAnsi="宋体" w:cs="宋体"/>
          <w:bCs/>
          <w:sz w:val="24"/>
          <w:lang w:bidi="ar"/>
        </w:rPr>
      </w:pPr>
      <w:r>
        <w:rPr>
          <w:rFonts w:hint="eastAsia" w:ascii="宋体" w:hAnsi="宋体" w:cs="宋体"/>
          <w:bCs/>
          <w:sz w:val="24"/>
          <w:lang w:bidi="ar"/>
        </w:rPr>
        <w:t xml:space="preserve">（1）对保修设备及相关配套设备作出日常巡检、保养计划，定期进行巡检、保养、维护，并做好记录。</w:t>
      </w:r>
      <w:r>
        <w:rPr>
          <w:rFonts w:ascii="宋体" w:hAnsi="宋体" w:cs="宋体"/>
          <w:bCs/>
          <w:sz w:val="24"/>
          <w:lang w:bidi="ar"/>
        </w:rPr>
      </w:r>
      <w:r/>
    </w:p>
    <w:p>
      <w:pPr>
        <w:pStyle w:val="1070"/>
        <w:contextualSpacing/>
        <w:ind w:firstLine="480"/>
        <w:jc w:val="left"/>
        <w:spacing w:line="360" w:lineRule="auto"/>
        <w:rPr>
          <w:rFonts w:ascii="宋体" w:hAnsi="宋体"/>
          <w:sz w:val="24"/>
        </w:rPr>
      </w:pPr>
      <w:r>
        <w:rPr>
          <w:rFonts w:hint="eastAsia" w:ascii="宋体" w:hAnsi="宋体" w:cs="宋体"/>
          <w:bCs/>
          <w:sz w:val="24"/>
          <w:lang w:bidi="ar"/>
        </w:rPr>
        <w:t xml:space="preserve">（2）</w:t>
      </w:r>
      <w:r>
        <w:rPr>
          <w:rFonts w:hint="eastAsia" w:ascii="宋体" w:hAnsi="宋体" w:cs="宋体"/>
          <w:bCs/>
          <w:sz w:val="24"/>
        </w:rPr>
        <w:t xml:space="preserve">服务期内，为医院技术和临床人员提供不少于每年2次的培训，包括临床应用培训，设备原厂培训、设备质控培训或设备管理培训。</w:t>
      </w:r>
      <w:r>
        <w:rPr>
          <w:rFonts w:ascii="宋体" w:hAnsi="宋体"/>
          <w:sz w:val="24"/>
        </w:rPr>
      </w:r>
      <w:r/>
    </w:p>
    <w:p>
      <w:pPr>
        <w:pStyle w:val="1070"/>
        <w:ind w:firstLine="480"/>
        <w:spacing w:line="360" w:lineRule="auto"/>
        <w:rPr>
          <w:rFonts w:ascii="宋体" w:hAnsi="宋体" w:cs="宋体"/>
          <w:bCs/>
          <w:sz w:val="24"/>
        </w:rPr>
      </w:pPr>
      <w:r>
        <w:rPr>
          <w:rFonts w:hint="eastAsia" w:ascii="宋体" w:hAnsi="宋体" w:cs="宋体"/>
          <w:bCs/>
          <w:sz w:val="24"/>
          <w:lang w:bidi="ar"/>
        </w:rPr>
        <w:t xml:space="preserve">（3）</w:t>
      </w:r>
      <w:r>
        <w:rPr>
          <w:rFonts w:hint="eastAsia" w:ascii="宋体" w:hAnsi="宋体" w:cs="宋体"/>
          <w:sz w:val="24"/>
        </w:rPr>
        <w:t xml:space="preserve">定期巡检、保养：每月定期巡检，提供一年 4 次保养，并提供巡检、保养报告单；定期的维护保养服务包括：设备的安全检查、影像质量检查、设备清洁保养、性能测试及校准、运行状态检查等。</w:t>
      </w:r>
      <w:r>
        <w:rPr>
          <w:rFonts w:ascii="宋体" w:hAnsi="宋体" w:cs="宋体"/>
          <w:bCs/>
          <w:sz w:val="24"/>
        </w:rPr>
      </w:r>
      <w:r/>
    </w:p>
    <w:p>
      <w:pPr>
        <w:pStyle w:val="1070"/>
        <w:ind w:firstLine="480"/>
        <w:spacing w:line="360" w:lineRule="auto"/>
        <w:widowControl/>
        <w:rPr>
          <w:rFonts w:ascii="宋体" w:hAnsi="宋体" w:cs="宋体"/>
          <w:sz w:val="24"/>
        </w:rPr>
      </w:pPr>
      <w:r>
        <w:rPr>
          <w:rFonts w:hint="eastAsia" w:ascii="宋体" w:hAnsi="宋体" w:cs="宋体"/>
          <w:sz w:val="24"/>
        </w:rPr>
        <w:t xml:space="preserve">2.报修方式：投标人具备400或800客户服务专线，24小时*365天有专人接听。</w:t>
      </w:r>
      <w:r>
        <w:rPr>
          <w:rFonts w:ascii="宋体" w:hAnsi="宋体" w:cs="宋体"/>
          <w:sz w:val="24"/>
        </w:rPr>
      </w:r>
      <w:r/>
    </w:p>
    <w:p>
      <w:pPr>
        <w:pStyle w:val="1070"/>
        <w:ind w:firstLine="480"/>
        <w:spacing w:line="360" w:lineRule="auto"/>
        <w:widowControl/>
        <w:rPr>
          <w:rFonts w:ascii="宋体" w:hAnsi="宋体" w:cs="宋体"/>
          <w:sz w:val="24"/>
        </w:rPr>
      </w:pPr>
      <w:r>
        <w:rPr>
          <w:rFonts w:hint="eastAsia" w:ascii="宋体" w:hAnsi="宋体" w:cs="宋体"/>
          <w:sz w:val="24"/>
        </w:rPr>
        <w:t xml:space="preserve">3.开机率保障：开机率确保达到95％，按全年365天计算(即全年停机时间不能超过10.95天)；停机时间每超一天，保修期顺延两个日历日。</w:t>
      </w:r>
      <w:r>
        <w:rPr>
          <w:rFonts w:ascii="宋体" w:hAnsi="宋体" w:cs="宋体"/>
          <w:sz w:val="24"/>
        </w:rPr>
      </w:r>
      <w:r/>
    </w:p>
    <w:p>
      <w:pPr>
        <w:pStyle w:val="1070"/>
        <w:ind w:firstLine="480"/>
        <w:spacing w:line="360" w:lineRule="auto"/>
        <w:widowControl/>
        <w:rPr>
          <w:rFonts w:ascii="宋体" w:hAnsi="宋体" w:cs="宋体"/>
          <w:sz w:val="24"/>
        </w:rPr>
      </w:pPr>
      <w:r>
        <w:rPr>
          <w:rFonts w:hint="eastAsia" w:ascii="宋体" w:hAnsi="宋体" w:cs="宋体"/>
          <w:sz w:val="24"/>
        </w:rPr>
        <w:t xml:space="preserve">4.质量保证：保证使用维修材料在正确安装、正常使用和保养条件下，使用寿命有符合技术标准的保障。确保所更换的备件不会给设备带来任何伤害。保证维修所用备件是原厂或原厂指定投标人能够符合原厂工艺及功能要求的备件</w:t>
      </w:r>
      <w:r>
        <w:rPr>
          <w:rFonts w:hint="eastAsia" w:ascii="宋体" w:hAnsi="宋体"/>
          <w:sz w:val="24"/>
        </w:rPr>
        <w:t xml:space="preserve">。</w:t>
      </w:r>
      <w:r>
        <w:rPr>
          <w:rFonts w:hint="eastAsia" w:ascii="宋体" w:hAnsi="宋体" w:cs="宋体"/>
          <w:sz w:val="24"/>
        </w:rPr>
        <w:t xml:space="preserve">有用以保证核磁设备维修的响应度。</w:t>
      </w:r>
      <w:r>
        <w:rPr>
          <w:rFonts w:ascii="宋体" w:hAnsi="宋体" w:cs="宋体"/>
          <w:sz w:val="24"/>
        </w:rPr>
      </w:r>
      <w:r/>
    </w:p>
    <w:p>
      <w:pPr>
        <w:pStyle w:val="1070"/>
        <w:ind w:firstLine="480"/>
        <w:spacing w:line="360" w:lineRule="auto"/>
        <w:widowControl/>
        <w:rPr>
          <w:rFonts w:ascii="宋体" w:hAnsi="宋体" w:cs="宋体"/>
          <w:sz w:val="24"/>
        </w:rPr>
      </w:pPr>
      <w:r>
        <w:rPr>
          <w:rFonts w:hint="eastAsia" w:ascii="宋体" w:hAnsi="宋体" w:cs="宋体"/>
          <w:sz w:val="24"/>
        </w:rPr>
        <w:t xml:space="preserve">5.备件响应时间：需要更换零备件时，国内仓库备件24小时内到达现场，特殊情况双方协商解决。</w:t>
      </w:r>
      <w:r>
        <w:rPr>
          <w:rFonts w:ascii="宋体" w:hAnsi="宋体" w:cs="宋体"/>
          <w:sz w:val="24"/>
        </w:rPr>
      </w:r>
      <w:r/>
    </w:p>
    <w:p>
      <w:pPr>
        <w:pStyle w:val="1070"/>
        <w:ind w:right="210" w:firstLine="480"/>
        <w:jc w:val="left"/>
        <w:spacing w:line="360" w:lineRule="auto"/>
        <w:rPr>
          <w:rFonts w:ascii="宋体" w:hAnsi="宋体" w:cs="宋体"/>
          <w:sz w:val="24"/>
          <w:lang w:bidi="ar"/>
        </w:rPr>
      </w:pPr>
      <w:r>
        <w:rPr>
          <w:rFonts w:hint="eastAsia" w:ascii="宋体" w:hAnsi="宋体" w:cs="宋体"/>
          <w:sz w:val="24"/>
          <w:lang w:bidi="ar"/>
        </w:rPr>
        <w:t xml:space="preserve">6.</w:t>
      </w:r>
      <w:r>
        <w:rPr>
          <w:rFonts w:hint="eastAsia" w:ascii="宋体" w:hAnsi="宋体" w:cs="宋体"/>
          <w:sz w:val="24"/>
        </w:rPr>
        <w:t xml:space="preserve">响应时间：确保接到报修能及时响应，巡场工程师能及时到场。1小时内到达现场,确保应急维修。</w:t>
      </w:r>
      <w:r>
        <w:rPr>
          <w:rFonts w:ascii="宋体" w:hAnsi="宋体" w:cs="宋体"/>
          <w:sz w:val="24"/>
          <w:lang w:bidi="ar"/>
        </w:rPr>
      </w:r>
      <w:r/>
    </w:p>
    <w:p>
      <w:pPr>
        <w:pStyle w:val="1070"/>
        <w:ind w:firstLine="480"/>
        <w:spacing w:line="360" w:lineRule="auto"/>
        <w:rPr>
          <w:rFonts w:ascii="宋体" w:hAnsi="宋体" w:cs="宋体"/>
          <w:sz w:val="24"/>
        </w:rPr>
      </w:pPr>
      <w:r>
        <w:rPr>
          <w:rFonts w:hint="eastAsia" w:ascii="宋体" w:hAnsi="宋体" w:cs="宋体"/>
          <w:sz w:val="24"/>
        </w:rPr>
        <w:t xml:space="preserve">7.安全责任：中标人在设备维保服务过程中，由于中标人的原因所造成的自身员工或者第三方人员人身损伤、伤亡的，由中标人承担全部责任。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人员配备：对于专业性要求高的设备，提供1名专业的巡场工程师，巡场1次/周。巡场工程师构架相对稳定，对巡场工程师满意度不合格的，院方有权要求更换人员，如出现巡场人员调整更换需经院方同意。</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9.质量评估：配合保养计划，针对产品的外部环境、主要参数与性能做质量评估，为设备潜在的问题提供预测性提示，以期减少设备非正常停机的风险，提高医疗设备的正常使用率，帮助医院实现高质量、低风险的医疗服务，确保最佳投资的回报率。</w:t>
      </w:r>
      <w:r>
        <w:rPr>
          <w:rFonts w:ascii="宋体" w:hAnsi="宋体" w:cs="宋体"/>
          <w:sz w:val="24"/>
        </w:rPr>
      </w:r>
      <w:r/>
    </w:p>
    <w:p>
      <w:pPr>
        <w:pStyle w:val="1070"/>
        <w:contextualSpacing/>
        <w:ind w:firstLine="482"/>
        <w:jc w:val="left"/>
        <w:spacing w:line="360" w:lineRule="auto"/>
        <w:rPr>
          <w:rFonts w:ascii="宋体" w:hAnsi="宋体" w:cs="宋体"/>
          <w:b/>
          <w:sz w:val="24"/>
        </w:rPr>
      </w:pPr>
      <w:r>
        <w:rPr>
          <w:rFonts w:hint="eastAsia" w:ascii="宋体" w:hAnsi="宋体" w:cs="宋体"/>
          <w:b/>
          <w:sz w:val="24"/>
        </w:rPr>
        <w:t xml:space="preserve">三、数字化服务要求</w:t>
      </w:r>
      <w:r>
        <w:rPr>
          <w:rFonts w:ascii="宋体" w:hAnsi="宋体" w:cs="宋体"/>
          <w:b/>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1.提供全套医疗设备精细化管理系统，通过与院内现有设备管理系统互联互通提供详实准确的数据分析，提高医疗设备使用效能；为医院医疗设备采购、使用、报废等管理提供重要评价依据和有效的管理体系。</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2.对标的设备逐台建立资产库（可按照所属科室、品牌、风险等级、使用状态、投标人等条件筛选显示），并持续维护资产记录；建立使用档案，记录其使用、维护、转让、实际使用时间等事项。</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3.移动端/PC端维修申请：使用科室用户通过权限范围决定可见设备，可以通过手机（PDA）端，或科室PC端发起维修申请，支持手机（PDA）端故障现象语音输入、拍照、文字描述。</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4.维修平台记录：对标的设备有详细的资料，每项维修支持记录详细的流程步骤，记录设备维修过程中的相关信息，包含工程师，维修工时，总费用，是否有更换相关配件等，并将每个维修记录能自动归类到各设备的记录下，维修记录有详细的流程步骤，可以导出维修记录。</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5.维修报告模板配置：支持配置新的维修报告模板，或使用默认报告模板。</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6.电子签名：需支持备件审核及验收审核电子签名，在手机端进行备件及维修工单验收时，需要签名，该电子签名可以导出到维修报告。</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7.资产大屏及展示：支持8*55寸信息显示大屏使用，支持重要信息大屏滚动显示，包含标的设备资产概况、如设备总资产、设备总台数，设备的类型、科室、品牌分布情况。</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信息大屏参数要求：</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55寸高清液晶面板*8块</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亮度：≥500cd/mm；</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物理拼缝：双边0.88mm；</w:t>
      </w:r>
      <w:r>
        <w:rPr>
          <w:rFonts w:ascii="宋体" w:hAnsi="宋体" w:cs="宋体"/>
          <w:bCs/>
          <w:sz w:val="24"/>
        </w:rPr>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单元尺寸：1213.4mm*684.2mm*137.1mm；</w:t>
      </w:r>
      <w:r>
        <w:rPr>
          <w:rFonts w:ascii="宋体" w:hAnsi="宋体" w:cs="宋体"/>
          <w:bCs/>
          <w:sz w:val="24"/>
        </w:rPr>
      </w:r>
      <w:r/>
    </w:p>
    <w:p>
      <w:pPr>
        <w:pStyle w:val="1070"/>
        <w:contextualSpacing/>
        <w:ind w:firstLine="480"/>
        <w:jc w:val="left"/>
        <w:spacing w:line="360" w:lineRule="auto"/>
        <w:rPr>
          <w:rFonts w:hint="eastAsia" w:ascii="宋体" w:hAnsi="宋体" w:cs="宋体"/>
          <w:bCs/>
          <w:sz w:val="24"/>
        </w:rPr>
      </w:pPr>
      <w:r>
        <w:rPr>
          <w:rFonts w:hint="eastAsia" w:ascii="宋体" w:hAnsi="宋体" w:cs="宋体"/>
          <w:bCs/>
          <w:sz w:val="24"/>
        </w:rPr>
        <w:t xml:space="preserve">对比度：3500：1；</w:t>
      </w:r>
      <w:r/>
    </w:p>
    <w:p>
      <w:pPr>
        <w:pStyle w:val="1070"/>
        <w:contextualSpacing/>
        <w:ind w:firstLine="480"/>
        <w:jc w:val="left"/>
        <w:spacing w:line="360" w:lineRule="auto"/>
        <w:rPr>
          <w:rFonts w:hint="eastAsia" w:ascii="宋体" w:hAnsi="宋体" w:cs="宋体"/>
          <w:bCs/>
          <w:sz w:val="24"/>
        </w:rPr>
      </w:pPr>
      <w:r>
        <w:rPr>
          <w:rFonts w:hint="eastAsia" w:ascii="宋体" w:hAnsi="宋体" w:cs="宋体"/>
          <w:bCs/>
          <w:sz w:val="24"/>
        </w:rPr>
        <w:t xml:space="preserve">信号接口：2路复合视频输入，1路VGA输入，1路DVI输入，1路HDMI输入；内置拼接处理器\智能温控\文字信息插播\延时开机\拼接画面错位补偿\水平或竖直安装\支持7x24小时开机\自动开关机\输入：Video、VGA、DVI、RGB/HV、HDMI、YPbPr、RJ45\输出：RJ45。</w:t>
      </w:r>
      <w:r/>
    </w:p>
    <w:p>
      <w:pPr>
        <w:pStyle w:val="1070"/>
        <w:contextualSpacing/>
        <w:ind w:firstLine="480"/>
        <w:jc w:val="left"/>
        <w:spacing w:line="360" w:lineRule="auto"/>
        <w:rPr>
          <w:rFonts w:ascii="宋体" w:hAnsi="宋体" w:cs="宋体"/>
          <w:bCs/>
          <w:sz w:val="24"/>
        </w:rPr>
      </w:pPr>
      <w:r>
        <w:rPr>
          <w:rFonts w:hint="eastAsia" w:ascii="宋体" w:hAnsi="宋体" w:cs="宋体"/>
          <w:bCs/>
          <w:sz w:val="24"/>
        </w:rPr>
        <w:t xml:space="preserve">8.人工智能辅助诊断工具主要功能要求：AI人工智能诊断工具CT肺结节。</w:t>
      </w:r>
      <w:r>
        <w:rPr>
          <w:rFonts w:ascii="宋体" w:hAnsi="宋体" w:cs="宋体"/>
          <w:bCs/>
          <w:sz w:val="24"/>
        </w:rPr>
      </w:r>
      <w:r/>
    </w:p>
    <w:p>
      <w:pPr>
        <w:pStyle w:val="1070"/>
        <w:contextualSpacing/>
        <w:jc w:val="left"/>
        <w:spacing w:line="360" w:lineRule="auto"/>
        <w:rPr>
          <w:rFonts w:ascii="宋体" w:hAnsi="宋体" w:cs="宋体"/>
          <w:bCs/>
          <w:sz w:val="24"/>
        </w:rPr>
      </w:pPr>
      <w:r>
        <w:rPr>
          <w:rFonts w:hint="eastAsia" w:ascii="宋体" w:hAnsi="宋体" w:cs="宋体"/>
          <w:bCs/>
          <w:sz w:val="24"/>
        </w:rPr>
        <w:t xml:space="preserve">支持常见医疗影像设备直接连接，支持医院PACS/RIS系统对接，具有影像过滤功能，可以快速且有效地筛选需要服务器智能预测的影像，将AI预测结果归档回传PACS，将带AI预测结果的影像长期存储在PACS，并可应用PACS所有功能，在统一网络环境中可以支持影像设备的主动推送DICOM影像。</w:t>
      </w:r>
      <w:r>
        <w:rPr>
          <w:rFonts w:ascii="宋体" w:hAnsi="宋体" w:cs="宋体"/>
          <w:bCs/>
          <w:sz w:val="24"/>
        </w:rPr>
      </w:r>
      <w:r/>
    </w:p>
    <w:p>
      <w:pPr>
        <w:pStyle w:val="1070"/>
        <w:contextualSpacing/>
        <w:ind w:firstLine="420"/>
        <w:jc w:val="left"/>
        <w:spacing w:line="360" w:lineRule="auto"/>
        <w:rPr>
          <w:rFonts w:ascii="宋体" w:hAnsi="宋体" w:cs="宋体"/>
          <w:b/>
          <w:bCs/>
          <w:sz w:val="24"/>
        </w:rPr>
      </w:pPr>
      <w:r>
        <w:rPr>
          <w:rFonts w:hint="eastAsia" w:ascii="宋体" w:hAnsi="宋体" w:cs="宋体"/>
          <w:b/>
          <w:bCs/>
          <w:sz w:val="24"/>
        </w:rPr>
        <w:t xml:space="preserve">四、报价方式</w:t>
      </w:r>
      <w:r>
        <w:rPr>
          <w:rFonts w:ascii="宋体" w:hAnsi="宋体" w:cs="宋体"/>
          <w:b/>
          <w:bCs/>
          <w:sz w:val="24"/>
        </w:rPr>
      </w:r>
      <w:r/>
    </w:p>
    <w:p>
      <w:pPr>
        <w:pStyle w:val="1070"/>
        <w:contextualSpacing/>
        <w:ind w:firstLine="420"/>
        <w:jc w:val="left"/>
        <w:spacing w:line="360" w:lineRule="auto"/>
        <w:rPr>
          <w:rFonts w:hint="eastAsia" w:ascii="宋体" w:hAnsi="宋体" w:cs="宋体"/>
          <w:b/>
          <w:bCs/>
          <w:sz w:val="24"/>
        </w:rPr>
      </w:pPr>
      <w:r>
        <w:rPr>
          <w:rFonts w:hint="eastAsia" w:ascii="宋体" w:hAnsi="宋体" w:cs="宋体"/>
          <w:bCs/>
          <w:sz w:val="24"/>
        </w:rPr>
        <w:t xml:space="preserve">本项目报价为固定总价，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cs="宋体"/>
          <w:b/>
          <w:bCs/>
          <w:sz w:val="24"/>
        </w:rPr>
      </w:r>
      <w:r/>
    </w:p>
    <w:p>
      <w:pPr>
        <w:pStyle w:val="1070"/>
        <w:contextualSpacing/>
        <w:ind w:firstLine="420"/>
        <w:jc w:val="left"/>
        <w:spacing w:line="360" w:lineRule="auto"/>
        <w:rPr>
          <w:rFonts w:hint="eastAsia" w:ascii="宋体" w:hAnsi="宋体" w:cs="宋体"/>
          <w:b/>
          <w:bCs/>
          <w:sz w:val="24"/>
        </w:rPr>
      </w:pPr>
      <w:r>
        <w:rPr>
          <w:rFonts w:hint="eastAsia" w:ascii="宋体" w:hAnsi="宋体" w:cs="宋体"/>
          <w:b/>
          <w:bCs/>
          <w:sz w:val="24"/>
        </w:rPr>
        <w:t xml:space="preserve">五、服务期限：自合同签订之日起一年。</w:t>
      </w:r>
      <w:r/>
    </w:p>
    <w:p>
      <w:pPr>
        <w:pStyle w:val="1070"/>
        <w:contextualSpacing/>
        <w:ind w:firstLine="420"/>
        <w:jc w:val="left"/>
        <w:spacing w:line="360" w:lineRule="auto"/>
        <w:rPr>
          <w:rFonts w:ascii="宋体" w:hAnsi="宋体" w:cs="宋体"/>
          <w:b/>
          <w:bCs/>
          <w:sz w:val="24"/>
        </w:rPr>
      </w:pPr>
      <w:r>
        <w:rPr>
          <w:rFonts w:hint="eastAsia" w:ascii="宋体" w:hAnsi="宋体" w:cs="宋体"/>
          <w:b/>
          <w:bCs/>
          <w:sz w:val="24"/>
        </w:rPr>
        <w:t xml:space="preserve">六、付款方式</w:t>
      </w:r>
      <w:r>
        <w:rPr>
          <w:rFonts w:ascii="宋体" w:hAnsi="宋体" w:cs="宋体"/>
          <w:b/>
          <w:bCs/>
          <w:sz w:val="24"/>
        </w:rPr>
      </w:r>
      <w:r/>
    </w:p>
    <w:p>
      <w:pPr>
        <w:pStyle w:val="1070"/>
        <w:contextualSpacing/>
        <w:ind w:firstLine="420"/>
        <w:jc w:val="left"/>
        <w:spacing w:line="360" w:lineRule="auto"/>
        <w:rPr>
          <w:rFonts w:hint="eastAsia" w:ascii="宋体" w:hAnsi="宋体" w:cs="宋体"/>
          <w:b/>
          <w:bCs/>
          <w:sz w:val="24"/>
        </w:rPr>
      </w:pPr>
      <w:r>
        <w:rPr>
          <w:rFonts w:hint="eastAsia" w:ascii="宋体" w:hAnsi="宋体" w:cs="宋体"/>
          <w:b/>
          <w:bCs/>
          <w:sz w:val="24"/>
        </w:rPr>
        <w:t xml:space="preserve">维保费用每半年度结算，服务半年后支付合同总价的50%。</w:t>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1110"/>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10"/>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87"/>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10"/>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0"/>
        <w:ind w:firstLine="482"/>
        <w:spacing w:line="360" w:lineRule="auto"/>
        <w:rPr>
          <w:rFonts w:hAnsi="宋体" w:cs="宋体"/>
          <w:b/>
          <w:sz w:val="24"/>
          <w:szCs w:val="24"/>
        </w:rPr>
      </w:pPr>
      <w:r>
        <w:rPr>
          <w:rFonts w:hAnsi="宋体" w:cs="宋体"/>
          <w:b/>
          <w:sz w:val="24"/>
          <w:szCs w:val="24"/>
        </w:rPr>
        <w:t xml:space="preserve">第一条 合同标的</w:t>
      </w:r>
      <w:r/>
    </w:p>
    <w:p>
      <w:pPr>
        <w:pStyle w:val="1070"/>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1.维保要求：CT+DR+窥镜整机全保，其它设备技术保。</w:t>
      </w:r>
      <w:r/>
    </w:p>
    <w:p>
      <w:pPr>
        <w:pStyle w:val="1070"/>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2.整体运维智慧化管理。</w:t>
      </w:r>
      <w:r/>
    </w:p>
    <w:p>
      <w:pPr>
        <w:pStyle w:val="1070"/>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3.维保设备清单：</w:t>
      </w:r>
      <w:r>
        <w:rPr>
          <w:rFonts w:ascii="宋体" w:hAnsi="宋体" w:cs="宋体"/>
          <w:sz w:val="24"/>
          <w:lang w:val="zh-CN"/>
        </w:rPr>
      </w:r>
      <w:r/>
    </w:p>
    <w:p>
      <w:pPr>
        <w:pStyle w:val="1070"/>
        <w:ind w:firstLine="480"/>
        <w:jc w:val="left"/>
        <w:spacing w:line="360" w:lineRule="auto"/>
        <w:widowControl/>
        <w:rPr>
          <w:rFonts w:hint="eastAsia" w:ascii="宋体" w:hAnsi="宋体" w:cs="宋体"/>
          <w:sz w:val="24"/>
          <w:lang w:val="zh-CN"/>
        </w:rPr>
      </w:pPr>
      <w:r>
        <w:rPr>
          <w:rFonts w:hint="eastAsia" w:ascii="宋体" w:hAnsi="宋体" w:cs="宋体"/>
          <w:sz w:val="24"/>
          <w:lang w:val="zh-CN"/>
        </w:rPr>
      </w:r>
      <w:r/>
    </w:p>
    <w:p>
      <w:pPr>
        <w:pStyle w:val="1110"/>
        <w:ind w:firstLine="482"/>
        <w:spacing w:line="360" w:lineRule="auto"/>
        <w:rPr>
          <w:rFonts w:hAnsi="宋体" w:cs="宋体"/>
          <w:b/>
          <w:sz w:val="24"/>
          <w:szCs w:val="24"/>
        </w:rPr>
      </w:pPr>
      <w:r>
        <w:rPr>
          <w:rFonts w:hAnsi="宋体" w:cs="宋体"/>
          <w:b/>
          <w:sz w:val="24"/>
          <w:szCs w:val="24"/>
        </w:rPr>
        <w:t xml:space="preserve">第二条 合同价格</w:t>
      </w:r>
      <w:r/>
    </w:p>
    <w:p>
      <w:pPr>
        <w:pStyle w:val="1110"/>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w:t>
      </w:r>
      <w:r>
        <w:rPr>
          <w:rFonts w:hAnsi="宋体" w:cs="宋体"/>
          <w:b/>
          <w:sz w:val="24"/>
          <w:szCs w:val="24"/>
        </w:rPr>
      </w:r>
      <w:r/>
    </w:p>
    <w:p>
      <w:pPr>
        <w:pStyle w:val="1110"/>
        <w:ind w:firstLine="480"/>
        <w:spacing w:line="360" w:lineRule="auto"/>
        <w:rPr>
          <w:rFonts w:hAnsi="宋体" w:cs="宋体"/>
          <w:sz w:val="24"/>
          <w:szCs w:val="24"/>
        </w:rPr>
      </w:pP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10"/>
        <w:ind w:firstLine="482"/>
        <w:spacing w:line="360" w:lineRule="auto"/>
        <w:rPr>
          <w:rFonts w:hAnsi="宋体" w:cs="宋体"/>
          <w:b/>
          <w:sz w:val="24"/>
          <w:szCs w:val="24"/>
        </w:rPr>
      </w:pPr>
      <w:r>
        <w:rPr>
          <w:rFonts w:hAnsi="宋体" w:cs="宋体"/>
          <w:b/>
          <w:sz w:val="24"/>
          <w:szCs w:val="24"/>
        </w:rPr>
        <w:t xml:space="preserve">第三条 合同履行期限</w:t>
      </w:r>
      <w:r/>
    </w:p>
    <w:p>
      <w:pPr>
        <w:pStyle w:val="1110"/>
        <w:ind w:firstLine="482"/>
        <w:spacing w:line="360" w:lineRule="auto"/>
        <w:rPr>
          <w:rFonts w:hAnsi="宋体" w:cs="宋体"/>
          <w:b/>
          <w:sz w:val="24"/>
          <w:szCs w:val="24"/>
        </w:rPr>
      </w:pPr>
      <w:r>
        <w:rPr>
          <w:rFonts w:hAnsi="宋体" w:cs="宋体"/>
          <w:b/>
          <w:sz w:val="24"/>
          <w:szCs w:val="24"/>
        </w:rPr>
      </w:r>
      <w:r/>
    </w:p>
    <w:p>
      <w:pPr>
        <w:pStyle w:val="1110"/>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10"/>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0"/>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0"/>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110"/>
        <w:ind w:firstLine="482"/>
        <w:spacing w:line="360" w:lineRule="auto"/>
        <w:rPr>
          <w:rFonts w:hAnsi="宋体" w:cs="宋体"/>
          <w:b/>
          <w:sz w:val="24"/>
          <w:szCs w:val="24"/>
        </w:rPr>
      </w:pPr>
      <w:r>
        <w:rPr>
          <w:rFonts w:hAnsi="宋体" w:cs="宋体"/>
          <w:b/>
          <w:sz w:val="24"/>
          <w:szCs w:val="24"/>
        </w:rPr>
        <w:t xml:space="preserve">第五条 服务要求</w:t>
      </w:r>
      <w:r>
        <w:rPr>
          <w:rFonts w:hAnsi="宋体" w:cs="宋体"/>
          <w:b/>
          <w:sz w:val="24"/>
          <w:szCs w:val="24"/>
        </w:rPr>
      </w:r>
      <w:r/>
    </w:p>
    <w:p>
      <w:pPr>
        <w:pStyle w:val="1070"/>
        <w:ind w:firstLine="480"/>
        <w:spacing w:line="360" w:lineRule="auto"/>
        <w:rPr>
          <w:rFonts w:ascii="宋体" w:hAnsi="宋体" w:cs="宋体"/>
          <w:sz w:val="24"/>
        </w:rPr>
      </w:pPr>
      <w:r>
        <w:rPr>
          <w:rFonts w:hint="eastAsia" w:ascii="宋体" w:hAnsi="宋体" w:cs="宋体"/>
          <w:sz w:val="24"/>
        </w:rPr>
        <w:t xml:space="preserve">1.定期巡检、保养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（1）对保修设备及相关配套设备作出日常巡检、保养计划，定期进行巡检、保养、维护，并做好记录。</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（2）服务期内，为医院技术和临床人员提供不少于每年2次的培训，包括临床应用培训，设备原厂培训、设备质控培训或设备管理培训。</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（3）定期巡检、保养：每月定期巡检，提供一年 4 次保养，并提供巡检、保养报告单；定期的维护保养服务包括：设备的安全检查、影像质量检查、设备清洁保养、性能测试及校准、运行状态检查等。</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2.报修方式：乙方具备400或800客户服务专线，24小时*365天有专人接听。</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3.开机率保障：开机率确保达到95％，按全年365天计算(即全年停机时间不能超过10.95天)；停机时间每超一天，保修期顺延两个日历日。</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质量保证：保证使用维修材料在正确安装、正常使用和保养条件下，使用寿命有符合技术标准的保障。确保所更换的备件不会给设备带来任何伤害。保证维修所用备件是原厂或原厂指定供应商能够符合原厂工艺及功能要求的备件。有用以保证核磁设备维修的响应度。</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5.备件响应时间：需要更换零备件时，国内仓库备件24小时内到达现场，特殊情况双方协商解决。</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6.响应时间：确保接到报修能及时响应，巡场工程师能及时到场。1小时内到达现场,确保应急维修。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7.安全责任：乙方在设备维保服务过程中，由于乙方的原因所造成的自身员工或者第三方人员人身损伤、伤亡的，由乙方承担全部责任。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人员配备：对于专业性要求高的设备，提供1名专业的巡场工程师，巡场1次/周。巡场工程师构架相对稳定，对巡场工程师满意度不合格的，院方有权要求更换人员，如出现巡场人员调整更换需经院方同意。</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9.质量评估：配合保养计划，针对产品的外部环境、主要参数与性能做质量评估，为设备潜在的问题提供预测性提示，以期减少设备非正常停机的风险，提高医疗设备的正常使用率，帮助医院实现高质量、低风险的医疗服务，确保最佳投资的回报率。</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第六条 数字化服务要求</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1.提供全套医疗设备精细化管理系统，通过与院内现有设备管理系统互联互通提供详实准确的数据分析，提高医疗设备使用效能；为医院医疗设备采购、使用、报废等管理提供重要评价依据和有效的管理体系。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2.对标的设备逐台建立资产库（可按照所属科室、品牌、风险等级、使用状态、供应商等条件筛选显示），并持续维护资产记录；建立使用档案，记录其使用、维护、转让、实际使用时间等事项。</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3.移动端/PC端维修申请：使用科室用户通过权限范围决定可见设备，可以通过手机（PDA）端，或科室PC端发起维修申请，支持手机（PDA）端故障现象语音输入、拍照、文字描述。</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维修平台记录：对标的设备有详细的资料，每项维修支持记录详细的流程步骤，记录设备维修过程中的相关信息，包含工程师，维修工时，总费用，是否有更换相关配件等，并将每个维修记录能自动归类到各设备的记录下，维修记录有详细的流程步骤，可以导出维修记录。</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5.维修报告模板配置：支持配置新的维修报告模板，或使用默认报告模板。</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6.电子签名：需支持备件审核及验收审核电子签名，在手机端进行备件及维修工单验收时，需要签名，该电子签名可以导出到维修报告。</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7.资产大屏及展示：支持8*55寸信息显示大屏使用，支持重要信息大屏滚动显示，包含标的设备资产概况、如设备总资产、设备总台数，设备的类型、科室、品牌分布情况。</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信息大屏参数要求：</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55寸高清液晶面板*8块</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亮度：500cd/mm；</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物理拼缝：双边0.88mm；</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单元尺寸：1213.4mm*684.2mm*137.1mm；</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对比度：3500：1；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信号接口：2路复合视频输入，1路VGA输入，1路DVI输入，1路HDMI输入；内置拼接处理器\智能温控\文字信息插播\延时开机\拼接画面错位补偿\水平或竖直安装\支持7x24小时开机\自动开关机\输入：Video、VGA、DVI、RGB/HV、HDMI、YPbPr、RJ45\输出：RJ45；产品获得CCC认证、ROHS认证、CE认证、公安部三所检测报告、能效标识备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8.人工智能辅助诊断工具主要功能要求：AI人工智能诊断工具CT肺结节。</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支持常见医疗影像设备直接连接，支持医院PACS/RIS系统对接，具有影像过滤功能，可以快速且有效地筛选需要服务器智能预测的影像，将AI预测结果归档回传PACS，将带AI预测结果的影像长期存储在PACS，并可应用PACS所有功能，在统一网络环境中可以支持影像设备的主动推送DICOM影像。</w:t>
      </w:r>
      <w:r>
        <w:rPr>
          <w:rFonts w:ascii="宋体" w:hAnsi="宋体" w:cs="宋体"/>
          <w:sz w:val="24"/>
        </w:rPr>
      </w:r>
      <w:r/>
    </w:p>
    <w:p>
      <w:pPr>
        <w:pStyle w:val="1070"/>
        <w:ind w:firstLine="482"/>
        <w:spacing w:line="500" w:lineRule="exact"/>
        <w:rPr>
          <w:rFonts w:hint="eastAsia" w:ascii="宋体" w:hAnsi="宋体" w:cs="宋体"/>
          <w:b/>
          <w:sz w:val="24"/>
        </w:rPr>
      </w:pPr>
      <w:r>
        <w:rPr>
          <w:rFonts w:hint="eastAsia" w:ascii="宋体" w:hAnsi="宋体" w:cs="宋体"/>
          <w:b/>
          <w:sz w:val="24"/>
        </w:rPr>
        <w:t xml:space="preserve">第七条 合同款结算及支付</w:t>
      </w:r>
      <w:r/>
    </w:p>
    <w:p>
      <w:pPr>
        <w:pStyle w:val="1070"/>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070"/>
        <w:ind w:firstLine="480"/>
        <w:spacing w:line="360" w:lineRule="auto"/>
        <w:rPr>
          <w:rFonts w:hint="eastAsia" w:ascii="宋体" w:hAnsi="宋体" w:cs="宋体"/>
          <w:sz w:val="24"/>
        </w:rPr>
      </w:pPr>
      <w:r>
        <w:rPr>
          <w:rFonts w:hint="eastAsia" w:ascii="宋体" w:hAnsi="宋体" w:cs="宋体"/>
          <w:sz w:val="24"/>
        </w:rPr>
        <w:t xml:space="preserve">4.付款方式：</w:t>
      </w:r>
      <w:r>
        <w:rPr>
          <w:rFonts w:hint="eastAsia" w:ascii="宋体" w:hAnsi="宋体" w:cs="宋体"/>
          <w:b/>
          <w:bCs/>
          <w:sz w:val="24"/>
        </w:rPr>
        <w:t xml:space="preserve">维保费用每半年度结算，服务半年后支付合同总价的50%。</w:t>
      </w:r>
      <w:r>
        <w:rPr>
          <w:rFonts w:hint="eastAsia"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第八条 违约责任</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4.乙方未按本合同的规定和“服务承诺”提供伴随服务的，甲方有权提前解除本合同，同时乙方应按合同总价款的5 %向甲方承担违约责任。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6.乙方投标属虚假承诺，或是由于乙方的过错造成合同无法继续履行的，还应向甲方支付不少于合同总价30%违约金，若该违约金不足以弥补甲方损失，则应当赔偿甲方所有损失。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7.其他未尽事宜，以《民法典》等有关法律法规规定为准，无相关规定的，双方协商解决。</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第九条 合同的变更和终止</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2.除发生法律规定的不能预见、不能避免并不能克服的客观情况外，甲乙双方不得放弃或拒绝履行合同。乙方放弃或拒绝履行合同，还须承担相关违约责任。</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第十条 合同的转让</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第十一条 不可抗力</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第十二条 争议的解决</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第十三条 诚实信用 </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0"/>
        <w:ind w:firstLine="482"/>
        <w:spacing w:line="360" w:lineRule="auto"/>
        <w:rPr>
          <w:rFonts w:ascii="宋体" w:hAnsi="宋体" w:cs="宋体"/>
          <w:b/>
          <w:sz w:val="24"/>
        </w:rPr>
      </w:pPr>
      <w:r>
        <w:rPr>
          <w:rFonts w:hint="eastAsia" w:ascii="宋体" w:hAnsi="宋体" w:cs="宋体"/>
          <w:b/>
          <w:sz w:val="24"/>
        </w:rPr>
        <w:t xml:space="preserve">第十四条 合同生效及其他</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0"/>
        <w:jc w:val="left"/>
        <w:spacing w:line="360" w:lineRule="auto"/>
        <w:rPr>
          <w:rFonts w:ascii="宋体" w:hAnsi="宋体" w:cs="宋体"/>
          <w:b/>
          <w:bCs/>
          <w:sz w:val="24"/>
        </w:rPr>
      </w:pPr>
      <w:r>
        <w:rPr>
          <w:rFonts w:ascii="宋体" w:hAnsi="宋体" w:cs="宋体"/>
          <w:b/>
          <w:bCs/>
          <w:sz w:val="24"/>
        </w:rPr>
      </w:r>
      <w:r/>
    </w:p>
    <w:p>
      <w:pPr>
        <w:pStyle w:val="1070"/>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70"/>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70"/>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70"/>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70"/>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070"/>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br w:type="page" w:clear="all"/>
      </w:r>
      <w:r/>
    </w:p>
    <w:p>
      <w:pPr>
        <w:pStyle w:val="1070"/>
        <w:jc w:val="center"/>
        <w:spacing w:line="360" w:lineRule="auto"/>
        <w:rPr>
          <w:rFonts w:ascii="宋体" w:hAnsi="宋体"/>
          <w:b/>
          <w:sz w:val="36"/>
          <w:szCs w:val="36"/>
        </w:rPr>
        <w:outlineLvl w:val="0"/>
      </w:pPr>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b/>
          <w:sz w:val="30"/>
          <w:szCs w:val="20"/>
        </w:rPr>
      </w:pPr>
      <w:r>
        <w:rPr>
          <w:rFonts w:ascii="宋体" w:hAnsi="宋体"/>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                                            投标人：（加盖公章）</w:t>
      </w:r>
      <w:r>
        <w:rPr>
          <w:rFonts w:hAnsi="宋体"/>
        </w:rPr>
      </w:r>
      <w:r/>
    </w:p>
    <w:p>
      <w:pPr>
        <w:pStyle w:val="1087"/>
        <w:ind w:firstLine="480"/>
        <w:spacing w:line="460" w:lineRule="exact"/>
        <w:rPr>
          <w:rFonts w:hAnsi="宋体"/>
        </w:rPr>
      </w:pPr>
      <w:r>
        <w:rPr>
          <w:rFonts w:hint="eastAsia" w:hAnsi="宋体"/>
        </w:rPr>
        <w:t xml:space="preserve">                                           法定代表人（或单位负责人）签字或盖章：</w:t>
      </w:r>
      <w:r>
        <w:rPr>
          <w:rFonts w:hAnsi="宋体"/>
        </w:rPr>
      </w:r>
      <w:r/>
    </w:p>
    <w:p>
      <w:pPr>
        <w:pStyle w:val="1087"/>
        <w:ind w:firstLine="492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0"/>
        <w:jc w:val="left"/>
        <w:widowControl/>
        <w:rPr>
          <w:rFonts w:ascii="宋体" w:hAnsi="宋体"/>
          <w:sz w:val="24"/>
        </w:rPr>
      </w:pPr>
      <w:r>
        <w:rPr>
          <w:rFonts w:ascii="宋体" w:hAnsi="宋体"/>
          <w:sz w:val="24"/>
        </w:rPr>
      </w:r>
      <w:r/>
    </w:p>
    <w:p>
      <w:pPr>
        <w:pStyle w:val="1070"/>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226965829"/>
      <w:r/>
      <w:bookmarkStart w:id="818" w:name="_Toc195842921"/>
      <w:r/>
      <w:bookmarkStart w:id="819" w:name="_Toc150774761"/>
      <w:r/>
      <w:bookmarkStart w:id="820" w:name="_Toc127151556"/>
      <w:r/>
      <w:bookmarkStart w:id="821" w:name="_Ref467988698"/>
      <w:r/>
      <w:bookmarkStart w:id="822" w:name="_Toc226965746"/>
      <w:r/>
      <w:bookmarkStart w:id="823" w:name="_Toc226309800"/>
      <w:r/>
      <w:bookmarkStart w:id="824" w:name="_Toc150480794"/>
      <w:r/>
      <w:bookmarkStart w:id="825" w:name="_Toc142311058"/>
      <w:r/>
      <w:bookmarkStart w:id="826" w:name="_Toc480942349"/>
      <w:r/>
      <w:bookmarkStart w:id="827" w:name="_Toc520356217"/>
      <w:r/>
      <w:bookmarkStart w:id="828" w:name="_Toc226337252"/>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w:t>
      </w:r>
      <w:r>
        <w:rPr>
          <w:rFonts w:hint="eastAsia" w:ascii="宋体" w:hAnsi="宋体"/>
          <w:sz w:val="24"/>
          <w:szCs w:val="20"/>
        </w:rPr>
        <w:t xml:space="preserve">，</w:t>
      </w:r>
      <w:r>
        <w:rPr>
          <w:rFonts w:ascii="宋体" w:hAnsi="宋体"/>
          <w:sz w:val="24"/>
          <w:szCs w:val="20"/>
        </w:rPr>
        <w:t xml:space="preserve">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083"/>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3"/>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083"/>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083"/>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31" w:name="_Hlt520343392"/>
      <w:r/>
      <w:bookmarkEnd w:id="831"/>
      <w:r/>
      <w:bookmarkStart w:id="832" w:name="_Hlt520274407"/>
      <w:r/>
      <w:bookmarkEnd w:id="832"/>
      <w:r/>
      <w:bookmarkStart w:id="833" w:name="_Hlt520274121"/>
      <w:r/>
      <w:bookmarkEnd w:id="833"/>
      <w:r/>
      <w:bookmarkStart w:id="834" w:name="_Hlt520273711"/>
      <w:r/>
      <w:bookmarkEnd w:id="834"/>
      <w:r/>
      <w:bookmarkStart w:id="835" w:name="_Hlt520343000"/>
      <w:r/>
      <w:bookmarkEnd w:id="835"/>
      <w:r/>
      <w:bookmarkStart w:id="836" w:name="_Hlt520350918"/>
      <w:r/>
      <w:bookmarkEnd w:id="836"/>
      <w:r/>
      <w:bookmarkStart w:id="837" w:name="_Hlt520271212"/>
      <w:r/>
      <w:bookmarkEnd w:id="837"/>
      <w:r/>
      <w:bookmarkStart w:id="838" w:name="_Hlt520274065"/>
      <w:r/>
      <w:bookmarkEnd w:id="838"/>
      <w:r/>
      <w:bookmarkStart w:id="839" w:name="_Hlt520274393"/>
      <w:r/>
      <w:bookmarkEnd w:id="839"/>
      <w:r/>
      <w:bookmarkStart w:id="840" w:name="_Hlt520355504"/>
      <w:r/>
      <w:bookmarkEnd w:id="840"/>
      <w:r/>
      <w:bookmarkStart w:id="841" w:name="_Toc305158899"/>
      <w:r/>
      <w:bookmarkStart w:id="842" w:name="_Toc150774762"/>
      <w:r/>
      <w:bookmarkStart w:id="843" w:name="_Ref467988705"/>
      <w:r/>
      <w:bookmarkStart w:id="844" w:name="_Toc127151557"/>
      <w:r/>
      <w:bookmarkStart w:id="845" w:name="_Toc520356218"/>
      <w:r/>
      <w:bookmarkStart w:id="846" w:name="_Toc480942350"/>
      <w:r/>
      <w:bookmarkStart w:id="847" w:name="_Toc264969247"/>
      <w:r/>
      <w:bookmarkStart w:id="848" w:name="_Toc265228395"/>
      <w:r/>
      <w:bookmarkStart w:id="849" w:name="_Toc150480795"/>
      <w:r/>
      <w:bookmarkStart w:id="850" w:name="_Toc226965830"/>
      <w:r/>
      <w:bookmarkStart w:id="851" w:name="_Toc226309801"/>
      <w:r/>
      <w:bookmarkStart w:id="852" w:name="_Toc305158825"/>
      <w:r/>
      <w:bookmarkStart w:id="853" w:name="_Toc195842922"/>
      <w:r/>
      <w:bookmarkStart w:id="854" w:name="_Toc226337253"/>
      <w:r/>
      <w:bookmarkStart w:id="855" w:name="_Toc142311059"/>
      <w:r/>
      <w:bookmarkStart w:id="856" w:name="_Toc2269657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57" w:name="_Toc226309802"/>
      <w:r/>
      <w:bookmarkStart w:id="858" w:name="_Toc305158900"/>
      <w:r/>
      <w:bookmarkStart w:id="859" w:name="_Toc305158826"/>
      <w:r/>
      <w:bookmarkStart w:id="860" w:name="_Toc226965831"/>
      <w:r/>
      <w:bookmarkStart w:id="861" w:name="_Toc164608827"/>
      <w:r/>
      <w:bookmarkStart w:id="862" w:name="_Toc195842923"/>
      <w:r/>
      <w:bookmarkStart w:id="863" w:name="_Toc226965748"/>
      <w:r/>
      <w:bookmarkStart w:id="864" w:name="_Toc265228396"/>
      <w:r/>
      <w:bookmarkStart w:id="865" w:name="_Toc264969248"/>
      <w:r/>
      <w:bookmarkStart w:id="866" w:name="_Toc164608672"/>
      <w:r/>
      <w:bookmarkStart w:id="867" w:name="_Toc226337254"/>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5"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r>
    </w:tbl>
    <w:p>
      <w:pPr>
        <w:pStyle w:val="1070"/>
        <w:jc w:val="left"/>
        <w:rPr>
          <w:rFonts w:ascii="宋体" w:hAnsi="宋体"/>
          <w:sz w:val="24"/>
        </w:rPr>
      </w:pPr>
      <w:r>
        <w:rPr>
          <w:rFonts w:ascii="宋体" w:hAnsi="宋体"/>
          <w:sz w:val="24"/>
        </w:rPr>
      </w:r>
      <w:r/>
    </w:p>
    <w:p>
      <w:pPr>
        <w:pStyle w:val="1070"/>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1070"/>
        <w:spacing w:before="25" w:after="25" w:line="360" w:lineRule="auto"/>
        <w:rPr>
          <w:rFonts w:ascii="宋体" w:hAnsi="宋体"/>
          <w:sz w:val="24"/>
          <w:lang w:val="zh-CN"/>
        </w:rPr>
      </w:pPr>
      <w:r>
        <w:rPr>
          <w:rFonts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68" w:name="_Toc226309803"/>
      <w:r/>
      <w:bookmarkStart w:id="869" w:name="_Toc265228397"/>
      <w:r/>
      <w:bookmarkStart w:id="870" w:name="_Toc142311060"/>
      <w:r/>
      <w:bookmarkStart w:id="871" w:name="_Toc226965832"/>
      <w:r/>
      <w:bookmarkStart w:id="872" w:name="_Toc226965749"/>
      <w:r/>
      <w:bookmarkStart w:id="873" w:name="_Toc305158901"/>
      <w:r/>
      <w:bookmarkStart w:id="874" w:name="_Toc305158827"/>
      <w:r/>
      <w:bookmarkStart w:id="875" w:name="_Toc127151558"/>
      <w:r/>
      <w:bookmarkStart w:id="876" w:name="_Toc226337255"/>
      <w:r/>
      <w:bookmarkStart w:id="877" w:name="_Toc150480796"/>
      <w:r/>
      <w:bookmarkStart w:id="878" w:name="_Toc195842924"/>
      <w:r/>
      <w:bookmarkStart w:id="879" w:name="_Toc264969249"/>
      <w:r/>
      <w:bookmarkStart w:id="880" w:name="_Toc15077476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0"/>
              <w:jc w:val="center"/>
              <w:spacing w:line="360" w:lineRule="auto"/>
              <w:widowControl/>
              <w:rPr>
                <w:rFonts w:ascii="宋体" w:hAnsi="宋体" w:cs="Arial"/>
                <w:sz w:val="24"/>
              </w:rPr>
            </w:pPr>
            <w:r/>
            <w:bookmarkStart w:id="881" w:name="_Toc305158904"/>
            <w:r/>
            <w:bookmarkStart w:id="882" w:name="_Toc226965835"/>
            <w:r/>
            <w:bookmarkStart w:id="883" w:name="_Toc195842927"/>
            <w:r/>
            <w:bookmarkStart w:id="884" w:name="_Toc142311062"/>
            <w:r/>
            <w:bookmarkStart w:id="885" w:name="_Toc226309806"/>
            <w:r/>
            <w:bookmarkStart w:id="886" w:name="_Toc265228400"/>
            <w:r/>
            <w:bookmarkStart w:id="887" w:name="_Toc264969252"/>
            <w:r/>
            <w:bookmarkStart w:id="888" w:name="_Toc305158830"/>
            <w:r/>
            <w:bookmarkStart w:id="889" w:name="_Toc150774765"/>
            <w:r/>
            <w:bookmarkStart w:id="890" w:name="_Toc226337258"/>
            <w:r/>
            <w:bookmarkStart w:id="891" w:name="_Toc150480798"/>
            <w:r/>
            <w:bookmarkStart w:id="892" w:name="_Toc127151562"/>
            <w:r/>
            <w:bookmarkStart w:id="893" w:name="_Toc226965752"/>
            <w:r/>
            <w:bookmarkStart w:id="894" w:name="_Toc195842926"/>
            <w:r/>
            <w:bookmarkStart w:id="895" w:name="_Toc226965834"/>
            <w:r/>
            <w:bookmarkStart w:id="896" w:name="_Toc150774764"/>
            <w:r/>
            <w:bookmarkStart w:id="897" w:name="_Toc305158829"/>
            <w:r/>
            <w:bookmarkStart w:id="898" w:name="_Toc226309805"/>
            <w:r/>
            <w:bookmarkStart w:id="899" w:name="_Toc264969251"/>
            <w:r/>
            <w:bookmarkStart w:id="900" w:name="_Toc226337257"/>
            <w:r/>
            <w:bookmarkStart w:id="901" w:name="_Toc265228399"/>
            <w:r/>
            <w:bookmarkStart w:id="902" w:name="_Toc142311061"/>
            <w:r/>
            <w:bookmarkStart w:id="903" w:name="_Toc305158903"/>
            <w:r/>
            <w:bookmarkStart w:id="904" w:name="_Toc127151561"/>
            <w:r/>
            <w:bookmarkStart w:id="905" w:name="_Toc226965751"/>
            <w:r/>
            <w:bookmarkStart w:id="906" w:name="_Toc150480797"/>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70"/>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0"/>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70"/>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70"/>
              <w:jc w:val="center"/>
              <w:spacing w:line="360" w:lineRule="auto"/>
              <w:widowControl/>
              <w:rPr>
                <w:rFonts w:ascii="宋体" w:hAnsi="宋体" w:cs="Arial"/>
                <w:sz w:val="24"/>
              </w:rPr>
            </w:pPr>
            <w:r>
              <w:rPr>
                <w:rFonts w:ascii="宋体" w:hAnsi="宋体" w:cs="Arial"/>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36"/>
          <w:szCs w:val="36"/>
        </w:rPr>
      </w:pPr>
      <w:r>
        <w:rPr>
          <w:rFonts w:ascii="宋体" w:hAnsi="宋体"/>
          <w:b/>
          <w:bCs/>
          <w:sz w:val="24"/>
        </w:rPr>
        <w:br w:type="page" w:clear="all"/>
      </w:r>
      <w:r>
        <w:rPr>
          <w:rFonts w:ascii="宋体" w:hAnsi="宋体"/>
          <w:b/>
          <w:bCs/>
          <w:sz w:val="36"/>
          <w:szCs w:val="36"/>
        </w:rPr>
      </w:r>
      <w:r/>
    </w:p>
    <w:p>
      <w:pPr>
        <w:pStyle w:val="1070"/>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0"/>
        <w:numPr>
          <w:ilvl w:val="0"/>
          <w:numId w:val="14"/>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jc w:val="left"/>
        <w:rPr>
          <w:rFonts w:ascii="宋体" w:hAnsi="宋体"/>
          <w:szCs w:val="21"/>
          <w:vertAlign w:val="superscript"/>
        </w:rPr>
      </w:pPr>
      <w:r>
        <w:rPr>
          <w:rFonts w:ascii="宋体" w:hAnsi="宋体"/>
          <w:szCs w:val="21"/>
          <w:vertAlign w:val="superscript"/>
        </w:rPr>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p>
      <w:pPr>
        <w:pStyle w:val="1070"/>
        <w:spacing w:line="360" w:lineRule="auto"/>
        <w:rPr>
          <w:rFonts w:ascii="宋体" w:hAnsi="宋体"/>
          <w:sz w:val="24"/>
          <w:szCs w:val="20"/>
        </w:rPr>
        <w:outlineLvl w:val="2"/>
      </w:pPr>
      <w:r>
        <w:rPr>
          <w:rFonts w:ascii="宋体" w:hAnsi="宋体"/>
          <w:sz w:val="24"/>
          <w:szCs w:val="20"/>
        </w:rPr>
        <w:br w:type="page" w:clear="all"/>
      </w:r>
      <w:r/>
    </w:p>
    <w:p>
      <w:pPr>
        <w:pStyle w:val="107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ascii="宋体" w:hAnsi="宋体"/>
          <w:b/>
          <w:sz w:val="24"/>
        </w:rPr>
        <w:t xml:space="preserve">10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3  招标文件要求提供或投标人认为应附的其他材料</w:t>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sz w:val="36"/>
          <w:szCs w:val="36"/>
        </w:rPr>
      </w:pPr>
      <w:r>
        <w:rPr>
          <w:rFonts w:ascii="宋体" w:hAnsi="宋体"/>
          <w:sz w:val="36"/>
          <w:szCs w:val="36"/>
        </w:rPr>
      </w:r>
      <w:r/>
    </w:p>
    <w:p>
      <w:pPr>
        <w:pStyle w:val="1070"/>
        <w:jc w:val="center"/>
        <w:spacing w:line="360" w:lineRule="auto"/>
        <w:rPr>
          <w:rFonts w:ascii="宋体" w:hAnsi="宋体"/>
          <w:sz w:val="36"/>
          <w:szCs w:val="36"/>
        </w:rPr>
      </w:pPr>
      <w:r>
        <w:rPr>
          <w:rFonts w:ascii="宋体" w:hAnsi="宋体"/>
          <w:sz w:val="36"/>
          <w:szCs w:val="36"/>
        </w:rPr>
      </w:r>
      <w:r/>
    </w:p>
    <w:p>
      <w:pPr>
        <w:pStyle w:val="1070"/>
        <w:jc w:val="center"/>
        <w:spacing w:line="360" w:lineRule="auto"/>
        <w:rPr>
          <w:rFonts w:ascii="宋体" w:hAnsi="宋体" w:cs="黑体"/>
          <w:b/>
          <w:sz w:val="28"/>
          <w:szCs w:val="28"/>
        </w:rPr>
      </w:pPr>
      <w:r>
        <w:rPr>
          <w:rFonts w:ascii="宋体" w:hAnsi="宋体" w:cs="黑体"/>
          <w:b/>
          <w:sz w:val="28"/>
          <w:szCs w:val="28"/>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3"/>
      </w:rPr>
      <w:framePr w:wrap="around" w:vAnchor="text" w:hAnchor="margin" w:y="1"/>
    </w:pPr>
    <w:r>
      <w:rPr>
        <w:rStyle w:val="1143"/>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isLgl w:val="false"/>
      <w:suff w:val="tab"/>
      <w:lvlText w:val="%1."/>
      <w:lvlJc w:val="left"/>
      <w:pPr>
        <w:pStyle w:val="1070"/>
        <w:ind w:left="1242" w:hanging="382"/>
      </w:pPr>
      <w:rPr>
        <w:rFonts w:ascii="仿宋" w:hAnsi="仿宋" w:eastAsia="仿宋" w:cs="仿宋"/>
        <w:spacing w:val="0"/>
        <w:sz w:val="32"/>
        <w:szCs w:val="32"/>
      </w:rPr>
    </w:lvl>
    <w:lvl w:ilvl="1">
      <w:start w:val="0"/>
      <w:numFmt w:val="bullet"/>
      <w:isLgl w:val="false"/>
      <w:suff w:val="tab"/>
      <w:lvlText w:val="•"/>
      <w:lvlJc w:val="left"/>
      <w:pPr>
        <w:pStyle w:val="1070"/>
        <w:ind w:left="2010" w:hanging="382"/>
      </w:pPr>
    </w:lvl>
    <w:lvl w:ilvl="2">
      <w:start w:val="0"/>
      <w:numFmt w:val="bullet"/>
      <w:isLgl w:val="false"/>
      <w:suff w:val="tab"/>
      <w:lvlText w:val="•"/>
      <w:lvlJc w:val="left"/>
      <w:pPr>
        <w:pStyle w:val="1070"/>
        <w:ind w:left="2781" w:hanging="382"/>
      </w:pPr>
    </w:lvl>
    <w:lvl w:ilvl="3">
      <w:start w:val="0"/>
      <w:numFmt w:val="bullet"/>
      <w:isLgl w:val="false"/>
      <w:suff w:val="tab"/>
      <w:lvlText w:val="•"/>
      <w:lvlJc w:val="left"/>
      <w:pPr>
        <w:pStyle w:val="1070"/>
        <w:ind w:left="3551" w:hanging="382"/>
      </w:pPr>
    </w:lvl>
    <w:lvl w:ilvl="4">
      <w:start w:val="0"/>
      <w:numFmt w:val="bullet"/>
      <w:isLgl w:val="false"/>
      <w:suff w:val="tab"/>
      <w:lvlText w:val="•"/>
      <w:lvlJc w:val="left"/>
      <w:pPr>
        <w:pStyle w:val="1070"/>
        <w:ind w:left="4322" w:hanging="382"/>
      </w:pPr>
    </w:lvl>
    <w:lvl w:ilvl="5">
      <w:start w:val="0"/>
      <w:numFmt w:val="bullet"/>
      <w:isLgl w:val="false"/>
      <w:suff w:val="tab"/>
      <w:lvlText w:val="•"/>
      <w:lvlJc w:val="left"/>
      <w:pPr>
        <w:pStyle w:val="1070"/>
        <w:ind w:left="5093" w:hanging="382"/>
      </w:pPr>
    </w:lvl>
    <w:lvl w:ilvl="6">
      <w:start w:val="0"/>
      <w:numFmt w:val="bullet"/>
      <w:isLgl w:val="false"/>
      <w:suff w:val="tab"/>
      <w:lvlText w:val="•"/>
      <w:lvlJc w:val="left"/>
      <w:pPr>
        <w:pStyle w:val="1070"/>
        <w:ind w:left="5863" w:hanging="382"/>
      </w:pPr>
    </w:lvl>
    <w:lvl w:ilvl="7">
      <w:start w:val="0"/>
      <w:numFmt w:val="bullet"/>
      <w:isLgl w:val="false"/>
      <w:suff w:val="tab"/>
      <w:lvlText w:val="•"/>
      <w:lvlJc w:val="left"/>
      <w:pPr>
        <w:pStyle w:val="1070"/>
        <w:ind w:left="6634" w:hanging="382"/>
      </w:pPr>
    </w:lvl>
    <w:lvl w:ilvl="8">
      <w:start w:val="0"/>
      <w:numFmt w:val="bullet"/>
      <w:isLgl w:val="false"/>
      <w:suff w:val="tab"/>
      <w:lvlText w:val="•"/>
      <w:lvlJc w:val="left"/>
      <w:pPr>
        <w:pStyle w:val="1070"/>
        <w:ind w:left="7404" w:hanging="382"/>
      </w:pPr>
    </w:lvl>
  </w:abstractNum>
  <w:abstractNum w:abstractNumId="9">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83"/>
    <w:link w:val="1070"/>
    <w:qFormat/>
    <w:pPr>
      <w:jc w:val="both"/>
      <w:widowControl w:val="off"/>
    </w:pPr>
    <w:rPr>
      <w:sz w:val="21"/>
      <w:szCs w:val="24"/>
      <w:lang w:val="en-US" w:eastAsia="zh-CN" w:bidi="ar-SA"/>
    </w:rPr>
  </w:style>
  <w:style w:type="paragraph" w:styleId="1071">
    <w:name w:val="标题 1"/>
    <w:basedOn w:val="1070"/>
    <w:next w:val="1070"/>
    <w:link w:val="1085"/>
    <w:qFormat/>
    <w:pPr>
      <w:jc w:val="center"/>
      <w:keepLines/>
      <w:keepNext/>
      <w:spacing w:before="240" w:after="120" w:line="300" w:lineRule="auto"/>
      <w:outlineLvl w:val="0"/>
    </w:pPr>
    <w:rPr>
      <w:rFonts w:ascii="宋体"/>
      <w:b/>
      <w:sz w:val="32"/>
      <w:szCs w:val="20"/>
    </w:rPr>
  </w:style>
  <w:style w:type="paragraph" w:styleId="1072">
    <w:name w:val="标题 2"/>
    <w:basedOn w:val="1070"/>
    <w:next w:val="1087"/>
    <w:link w:val="1086"/>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7"/>
    <w:link w:val="1089"/>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90"/>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91"/>
    <w:qFormat/>
    <w:pPr>
      <w:keepLines/>
      <w:keepNext/>
      <w:spacing w:before="280" w:after="290" w:line="376" w:lineRule="atLeast"/>
      <w:outlineLvl w:val="4"/>
    </w:pPr>
    <w:rPr>
      <w:b/>
      <w:sz w:val="28"/>
      <w:szCs w:val="20"/>
    </w:rPr>
  </w:style>
  <w:style w:type="paragraph" w:styleId="1076">
    <w:name w:val="标题 6"/>
    <w:basedOn w:val="1070"/>
    <w:next w:val="1070"/>
    <w:link w:val="1092"/>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3"/>
    <w:qFormat/>
    <w:pPr>
      <w:keepLines/>
      <w:keepNext/>
      <w:spacing w:before="240" w:after="64" w:line="320" w:lineRule="atLeast"/>
      <w:outlineLvl w:val="6"/>
    </w:pPr>
    <w:rPr>
      <w:b/>
      <w:sz w:val="24"/>
      <w:szCs w:val="20"/>
    </w:rPr>
  </w:style>
  <w:style w:type="paragraph" w:styleId="1078">
    <w:name w:val="标题 8"/>
    <w:basedOn w:val="1070"/>
    <w:next w:val="1070"/>
    <w:link w:val="1094"/>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5"/>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paragraph" w:styleId="1083">
    <w:name w:val="正文文本"/>
    <w:basedOn w:val="1070"/>
    <w:next w:val="1070"/>
    <w:link w:val="1084"/>
    <w:qFormat/>
    <w:pPr>
      <w:spacing w:before="120" w:line="22" w:lineRule="atLeast"/>
      <w:tabs>
        <w:tab w:val="left" w:pos="567" w:leader="none"/>
      </w:tabs>
    </w:pPr>
    <w:rPr>
      <w:rFonts w:ascii="宋体" w:hAnsi="宋体"/>
      <w:sz w:val="24"/>
    </w:rPr>
  </w:style>
  <w:style w:type="character" w:styleId="1084">
    <w:name w:val="正文文本 字符1"/>
    <w:next w:val="1084"/>
    <w:link w:val="1083"/>
    <w:qFormat/>
    <w:rPr>
      <w:rFonts w:ascii="宋体" w:hAnsi="宋体"/>
      <w:sz w:val="24"/>
      <w:szCs w:val="24"/>
    </w:rPr>
  </w:style>
  <w:style w:type="character" w:styleId="1085">
    <w:name w:val="标题 1 字符"/>
    <w:next w:val="1085"/>
    <w:link w:val="1071"/>
    <w:qFormat/>
    <w:rPr>
      <w:rFonts w:ascii="宋体"/>
      <w:b/>
      <w:sz w:val="32"/>
    </w:rPr>
  </w:style>
  <w:style w:type="character" w:styleId="1086">
    <w:name w:val="标题 2 字符"/>
    <w:next w:val="1086"/>
    <w:link w:val="1072"/>
    <w:qFormat/>
    <w:rPr>
      <w:rFonts w:ascii="Arial" w:hAnsi="Arial" w:eastAsia="黑体"/>
      <w:b/>
      <w:sz w:val="30"/>
      <w:lang w:val="en-US" w:eastAsia="zh-CN" w:bidi="ar-SA"/>
    </w:rPr>
  </w:style>
  <w:style w:type="paragraph" w:styleId="1087">
    <w:name w:val="正文缩进"/>
    <w:basedOn w:val="1070"/>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3"/>
    <w:qFormat/>
    <w:rPr>
      <w:rFonts w:ascii="宋体" w:eastAsia="宋体"/>
      <w:b/>
      <w:sz w:val="24"/>
      <w:u w:val="single"/>
      <w:lang w:val="en-US" w:eastAsia="zh-CN" w:bidi="ar-SA"/>
    </w:rPr>
  </w:style>
  <w:style w:type="character" w:styleId="1090">
    <w:name w:val="标题 4 字符"/>
    <w:next w:val="1090"/>
    <w:link w:val="1074"/>
    <w:qFormat/>
    <w:rPr>
      <w:rFonts w:ascii="Arial" w:hAnsi="Arial" w:eastAsia="黑体"/>
      <w:b/>
      <w:sz w:val="28"/>
    </w:rPr>
  </w:style>
  <w:style w:type="character" w:styleId="1091">
    <w:name w:val="标题 5 字符"/>
    <w:next w:val="1091"/>
    <w:link w:val="1075"/>
    <w:qFormat/>
    <w:rPr>
      <w:b/>
      <w:sz w:val="28"/>
    </w:rPr>
  </w:style>
  <w:style w:type="character" w:styleId="1092">
    <w:name w:val="标题 6 字符"/>
    <w:next w:val="1092"/>
    <w:link w:val="1076"/>
    <w:qFormat/>
    <w:rPr>
      <w:rFonts w:ascii="Arial" w:hAnsi="Arial" w:eastAsia="黑体"/>
      <w:b/>
      <w:sz w:val="24"/>
    </w:rPr>
  </w:style>
  <w:style w:type="character" w:styleId="1093">
    <w:name w:val="标题 7 字符"/>
    <w:next w:val="1093"/>
    <w:link w:val="1077"/>
    <w:qFormat/>
    <w:rPr>
      <w:b/>
      <w:sz w:val="24"/>
    </w:rPr>
  </w:style>
  <w:style w:type="character" w:styleId="1094">
    <w:name w:val="标题 8 字符"/>
    <w:next w:val="1094"/>
    <w:link w:val="1078"/>
    <w:qFormat/>
    <w:rPr>
      <w:rFonts w:ascii="Arial" w:hAnsi="Arial" w:eastAsia="黑体"/>
      <w:sz w:val="24"/>
    </w:rPr>
  </w:style>
  <w:style w:type="character" w:styleId="1095">
    <w:name w:val="标题 9 字符"/>
    <w:next w:val="1095"/>
    <w:link w:val="1079"/>
    <w:qFormat/>
    <w:rPr>
      <w:rFonts w:ascii="Arial" w:hAnsi="Arial" w:eastAsia="黑体"/>
      <w:sz w:val="21"/>
    </w:rPr>
  </w:style>
  <w:style w:type="paragraph" w:styleId="1096">
    <w:name w:val="目录 7"/>
    <w:basedOn w:val="1070"/>
    <w:next w:val="1070"/>
    <w:link w:val="1070"/>
    <w:qFormat/>
    <w:pPr>
      <w:ind w:left="2520"/>
    </w:pPr>
  </w:style>
  <w:style w:type="paragraph" w:styleId="1097">
    <w:name w:val="题注"/>
    <w:basedOn w:val="1070"/>
    <w:next w:val="1070"/>
    <w:link w:val="1070"/>
    <w:qFormat/>
    <w:pPr>
      <w:spacing w:line="480" w:lineRule="auto"/>
    </w:pPr>
    <w:rPr>
      <w:rFonts w:ascii="华文中宋" w:hAnsi="华文中宋" w:eastAsia="华文中宋"/>
      <w:sz w:val="36"/>
      <w:szCs w:val="20"/>
    </w:rPr>
  </w:style>
  <w:style w:type="paragraph" w:styleId="1098">
    <w:name w:val="文档结构图"/>
    <w:basedOn w:val="1070"/>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0"/>
    <w:next w:val="1100"/>
    <w:link w:val="1101"/>
    <w:qFormat/>
    <w:pPr>
      <w:jc w:val="left"/>
    </w:pPr>
  </w:style>
  <w:style w:type="character" w:styleId="1101">
    <w:name w:val="批注文字 字符1"/>
    <w:next w:val="1101"/>
    <w:link w:val="1100"/>
    <w:uiPriority w:val="99"/>
    <w:qFormat/>
    <w:rPr>
      <w:sz w:val="21"/>
      <w:szCs w:val="24"/>
    </w:rPr>
  </w:style>
  <w:style w:type="paragraph" w:styleId="1102">
    <w:name w:val="正文文本 3"/>
    <w:basedOn w:val="1070"/>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100"/>
    <w:next w:val="1100"/>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着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访问过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仿宋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8"/>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仿宋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仿宋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楷体_GB2312" w:eastAsia="楷体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104"/>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7"/>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7"/>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仿宋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仿宋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4"/>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5" w:default="1">
    <w:name w:val="Default Paragraph Font"/>
    <w:uiPriority w:val="1"/>
    <w:semiHidden/>
    <w:unhideWhenUsed/>
  </w:style>
  <w:style w:type="numbering" w:styleId="1326" w:default="1">
    <w:name w:val="No List"/>
    <w:uiPriority w:val="99"/>
    <w:semiHidden/>
    <w:unhideWhenUsed/>
  </w:style>
  <w:style w:type="table" w:styleId="13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15</cp:revision>
  <dcterms:created xsi:type="dcterms:W3CDTF">2022-05-30T08:08:00Z</dcterms:created>
  <dcterms:modified xsi:type="dcterms:W3CDTF">2025-11-03T07:09:48Z</dcterms:modified>
  <cp:version>1048576</cp:version>
</cp:coreProperties>
</file>